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C6" w:rsidRPr="00E010C6" w:rsidRDefault="00E010C6" w:rsidP="00E010C6">
      <w:pPr>
        <w:jc w:val="center"/>
        <w:rPr>
          <w:rFonts w:ascii="Times New Roman" w:hAnsi="Times New Roman" w:cs="Times New Roman"/>
          <w:sz w:val="28"/>
          <w:lang w:eastAsia="es-ES"/>
        </w:rPr>
      </w:pPr>
      <w:bookmarkStart w:id="0" w:name="_Toc149562481"/>
      <w:bookmarkStart w:id="1" w:name="_Toc120242639"/>
      <w:bookmarkStart w:id="2" w:name="_Toc137102350"/>
      <w:r w:rsidRPr="00E010C6">
        <w:rPr>
          <w:rFonts w:ascii="Times New Roman" w:hAnsi="Times New Roman" w:cs="Times New Roman"/>
          <w:sz w:val="28"/>
          <w:lang w:eastAsia="es-ES"/>
        </w:rPr>
        <w:t>“</w:t>
      </w:r>
      <w:bookmarkStart w:id="3" w:name="_GoBack"/>
      <w:r w:rsidRPr="00E010C6">
        <w:rPr>
          <w:rFonts w:ascii="Times New Roman" w:hAnsi="Times New Roman" w:cs="Times New Roman"/>
          <w:sz w:val="28"/>
          <w:lang w:eastAsia="es-ES"/>
        </w:rPr>
        <w:t>Propuesta de disposición final para cortes de perforación contaminados con diésel</w:t>
      </w:r>
      <w:bookmarkEnd w:id="3"/>
      <w:r w:rsidRPr="00E010C6">
        <w:rPr>
          <w:rFonts w:ascii="Times New Roman" w:hAnsi="Times New Roman" w:cs="Times New Roman"/>
          <w:sz w:val="28"/>
          <w:lang w:eastAsia="es-ES"/>
        </w:rPr>
        <w:t>”</w:t>
      </w:r>
    </w:p>
    <w:p w:rsidR="00E010C6" w:rsidRPr="00E010C6" w:rsidRDefault="00E010C6" w:rsidP="00E010C6">
      <w:pPr>
        <w:jc w:val="center"/>
        <w:rPr>
          <w:rFonts w:ascii="Times New Roman" w:hAnsi="Times New Roman" w:cs="Times New Roman"/>
          <w:b/>
          <w:sz w:val="24"/>
          <w:lang w:eastAsia="es-ES"/>
        </w:rPr>
      </w:pPr>
      <w:r w:rsidRPr="00E010C6">
        <w:rPr>
          <w:rFonts w:ascii="Times New Roman" w:hAnsi="Times New Roman" w:cs="Times New Roman"/>
          <w:b/>
          <w:sz w:val="24"/>
          <w:lang w:eastAsia="es-ES"/>
        </w:rPr>
        <w:t>Autor</w:t>
      </w:r>
    </w:p>
    <w:p w:rsidR="00E010C6" w:rsidRDefault="00E010C6" w:rsidP="00E010C6">
      <w:pPr>
        <w:jc w:val="center"/>
        <w:rPr>
          <w:rFonts w:ascii="Times New Roman" w:hAnsi="Times New Roman" w:cs="Times New Roman"/>
          <w:vertAlign w:val="superscript"/>
          <w:lang w:val="es-ES_tradnl" w:eastAsia="es-ES"/>
        </w:rPr>
      </w:pPr>
      <w:r w:rsidRPr="00E010C6">
        <w:rPr>
          <w:rFonts w:ascii="Times New Roman" w:hAnsi="Times New Roman" w:cs="Times New Roman"/>
          <w:lang w:val="es-ES_tradnl" w:eastAsia="es-ES"/>
        </w:rPr>
        <w:t>Ing. Alejandro Silva Gutsens</w:t>
      </w:r>
    </w:p>
    <w:p w:rsidR="00E010C6" w:rsidRPr="00E010C6" w:rsidRDefault="00E010C6" w:rsidP="00E010C6">
      <w:pPr>
        <w:jc w:val="center"/>
        <w:rPr>
          <w:rFonts w:ascii="Times New Roman" w:hAnsi="Times New Roman" w:cs="Times New Roman"/>
          <w:b/>
          <w:sz w:val="24"/>
          <w:lang w:val="es-ES_tradnl" w:eastAsia="es-ES"/>
        </w:rPr>
      </w:pPr>
      <w:r>
        <w:rPr>
          <w:rFonts w:ascii="Times New Roman" w:hAnsi="Times New Roman" w:cs="Times New Roman"/>
          <w:b/>
          <w:sz w:val="24"/>
          <w:lang w:val="es-ES_tradnl" w:eastAsia="es-ES"/>
        </w:rPr>
        <w:t>Tutor</w:t>
      </w:r>
    </w:p>
    <w:p w:rsidR="00E010C6" w:rsidRPr="00E010C6" w:rsidRDefault="00E010C6" w:rsidP="00E010C6">
      <w:pPr>
        <w:spacing w:after="0"/>
        <w:jc w:val="center"/>
        <w:rPr>
          <w:rFonts w:ascii="Times New Roman" w:hAnsi="Times New Roman" w:cs="Times New Roman"/>
          <w:lang w:val="es-ES_tradnl" w:eastAsia="es-ES"/>
        </w:rPr>
      </w:pPr>
      <w:proofErr w:type="spellStart"/>
      <w:r w:rsidRPr="00E010C6">
        <w:rPr>
          <w:rFonts w:ascii="Times New Roman" w:hAnsi="Times New Roman" w:cs="Times New Roman"/>
          <w:lang w:val="es-ES_tradnl" w:eastAsia="es-ES"/>
        </w:rPr>
        <w:t>MSc</w:t>
      </w:r>
      <w:proofErr w:type="spellEnd"/>
      <w:r w:rsidRPr="00E010C6">
        <w:rPr>
          <w:rFonts w:ascii="Times New Roman" w:hAnsi="Times New Roman" w:cs="Times New Roman"/>
          <w:lang w:val="es-ES_tradnl" w:eastAsia="es-ES"/>
        </w:rPr>
        <w:t>. Ing. Yuletsis Díaz Rodríguez</w:t>
      </w:r>
    </w:p>
    <w:p w:rsidR="00402044" w:rsidRPr="007504D6" w:rsidRDefault="00402044" w:rsidP="00651677">
      <w:pPr>
        <w:pStyle w:val="Ttulo2"/>
        <w:spacing w:before="80" w:after="80" w:line="360" w:lineRule="auto"/>
        <w:rPr>
          <w:rFonts w:ascii="Times New Roman" w:eastAsia="Calibri" w:hAnsi="Times New Roman" w:cs="Times New Roman"/>
          <w:b/>
          <w:color w:val="auto"/>
          <w:sz w:val="24"/>
          <w:szCs w:val="24"/>
          <w:lang w:eastAsia="es-ES"/>
        </w:rPr>
      </w:pPr>
      <w:r w:rsidRPr="007504D6">
        <w:rPr>
          <w:rFonts w:ascii="Times New Roman" w:eastAsia="Calibri" w:hAnsi="Times New Roman" w:cs="Times New Roman"/>
          <w:b/>
          <w:color w:val="auto"/>
          <w:sz w:val="24"/>
          <w:szCs w:val="24"/>
          <w:lang w:eastAsia="es-ES"/>
        </w:rPr>
        <w:t>Introducción</w:t>
      </w:r>
      <w:bookmarkEnd w:id="0"/>
      <w:r w:rsidRPr="007504D6">
        <w:rPr>
          <w:rFonts w:ascii="Times New Roman" w:eastAsia="Calibri" w:hAnsi="Times New Roman" w:cs="Times New Roman"/>
          <w:b/>
          <w:color w:val="auto"/>
          <w:sz w:val="24"/>
          <w:szCs w:val="24"/>
          <w:lang w:eastAsia="es-ES"/>
        </w:rPr>
        <w:t xml:space="preserve"> </w:t>
      </w:r>
      <w:r w:rsidR="00FA0D9C" w:rsidRPr="007504D6">
        <w:rPr>
          <w:rFonts w:ascii="Times New Roman" w:eastAsia="Calibri" w:hAnsi="Times New Roman" w:cs="Times New Roman"/>
          <w:b/>
          <w:color w:val="auto"/>
          <w:sz w:val="24"/>
          <w:szCs w:val="24"/>
          <w:lang w:eastAsia="es-ES"/>
        </w:rPr>
        <w:t xml:space="preserve"> </w:t>
      </w:r>
    </w:p>
    <w:p w:rsidR="00402044" w:rsidRPr="00E14FB0" w:rsidRDefault="00402044" w:rsidP="00651677">
      <w:pPr>
        <w:spacing w:after="0" w:line="360" w:lineRule="auto"/>
        <w:jc w:val="both"/>
        <w:rPr>
          <w:rFonts w:ascii="Times New Roman" w:hAnsi="Times New Roman" w:cs="Times New Roman"/>
          <w:sz w:val="24"/>
        </w:rPr>
      </w:pPr>
      <w:r w:rsidRPr="00E14FB0">
        <w:rPr>
          <w:rFonts w:ascii="Times New Roman" w:hAnsi="Times New Roman" w:cs="Times New Roman"/>
          <w:sz w:val="24"/>
        </w:rPr>
        <w:t xml:space="preserve">La prospectiva es una herramienta que permite escudriñar el futuro para incidir en el presente y mejorarlo con imaginación y realismo. Usada originalmente por militares, políticos y empresarios, hoy diversos grupos de investigaciones contribuyen a este esfuerzo prospectivo diseñando posibles escenarios de la humanidad a 15 </w:t>
      </w:r>
      <w:proofErr w:type="spellStart"/>
      <w:r w:rsidRPr="00E14FB0">
        <w:rPr>
          <w:rFonts w:ascii="Times New Roman" w:hAnsi="Times New Roman" w:cs="Times New Roman"/>
          <w:sz w:val="24"/>
        </w:rPr>
        <w:t>ó</w:t>
      </w:r>
      <w:proofErr w:type="spellEnd"/>
      <w:r w:rsidRPr="00E14FB0">
        <w:rPr>
          <w:rFonts w:ascii="Times New Roman" w:hAnsi="Times New Roman" w:cs="Times New Roman"/>
          <w:sz w:val="24"/>
        </w:rPr>
        <w:t xml:space="preserve"> 20 años vista. También se ha realizado algunas investigaciones sobre el futuro de la humanidad a 100 años vista que, por primera vez, diseña el escenario del mundo después de una época de caos generalizado (la actual). Esta época caótica coincide con la t</w:t>
      </w:r>
      <w:r w:rsidR="002362E5">
        <w:rPr>
          <w:rFonts w:ascii="Times New Roman" w:hAnsi="Times New Roman" w:cs="Times New Roman"/>
          <w:sz w:val="24"/>
        </w:rPr>
        <w:t>ransición a un nuevo siglo (2000</w:t>
      </w:r>
      <w:r w:rsidRPr="00E14FB0">
        <w:rPr>
          <w:rFonts w:ascii="Times New Roman" w:hAnsi="Times New Roman" w:cs="Times New Roman"/>
          <w:sz w:val="24"/>
        </w:rPr>
        <w:t>-2100). Un mundo inimaginable donde la contribución de todos debe empezar desde hoy mismo, donde el cuidado y preservación del medio ambiente entra a jugar un rol esencial en la humanidad.</w:t>
      </w:r>
    </w:p>
    <w:p w:rsidR="00402044" w:rsidRPr="00E14FB0" w:rsidRDefault="00402044" w:rsidP="00651677">
      <w:pPr>
        <w:spacing w:after="0" w:line="360" w:lineRule="auto"/>
        <w:jc w:val="both"/>
        <w:rPr>
          <w:rFonts w:ascii="Times New Roman" w:hAnsi="Times New Roman" w:cs="Times New Roman"/>
          <w:sz w:val="24"/>
        </w:rPr>
      </w:pPr>
      <w:r w:rsidRPr="00E14FB0">
        <w:rPr>
          <w:rFonts w:ascii="Times New Roman" w:hAnsi="Times New Roman" w:cs="Times New Roman"/>
          <w:sz w:val="24"/>
        </w:rPr>
        <w:t xml:space="preserve">En este último tiempo las preocupaciones ambientales sobre nuestro planeta se han ampliado dramáticamente en los últimos decenios y figuran ahora entre los más graves desafíos para el bienestar de la humanidad en todo el mundo al igual que a futuro. Se ven afectadas todas las naciones, pero con frecuencia son los países más pobres y las poblaciones menos privilegiadas quienes soportan la mayor parte de la carga. Los cuales sufren grandemente los efectos de la destrucción ambiental y el cambio climático y son los que tienen menos recursos disponibles para adaptarse a situaciones cambiantes, como la lucha contra la degradación ambiental y las medidas en favor de la sostenibilidad del medio ambiente. </w:t>
      </w:r>
    </w:p>
    <w:p w:rsidR="00402044" w:rsidRPr="00E14FB0" w:rsidRDefault="00402044" w:rsidP="00651677">
      <w:pPr>
        <w:spacing w:after="0" w:line="360" w:lineRule="auto"/>
        <w:jc w:val="both"/>
        <w:rPr>
          <w:rFonts w:ascii="Times New Roman" w:hAnsi="Times New Roman" w:cs="Times New Roman"/>
          <w:sz w:val="24"/>
        </w:rPr>
      </w:pPr>
      <w:r w:rsidRPr="00E14FB0">
        <w:rPr>
          <w:rFonts w:ascii="Times New Roman" w:hAnsi="Times New Roman" w:cs="Times New Roman"/>
          <w:sz w:val="24"/>
        </w:rPr>
        <w:t>La actividad petrolera es una de las industrias que más impactos ambientales</w:t>
      </w:r>
      <w:r w:rsidR="00700ABF">
        <w:rPr>
          <w:rFonts w:ascii="Times New Roman" w:hAnsi="Times New Roman" w:cs="Times New Roman"/>
          <w:sz w:val="24"/>
        </w:rPr>
        <w:t xml:space="preserve"> </w:t>
      </w:r>
      <w:r w:rsidRPr="00E14FB0">
        <w:rPr>
          <w:rFonts w:ascii="Times New Roman" w:hAnsi="Times New Roman" w:cs="Times New Roman"/>
          <w:sz w:val="24"/>
        </w:rPr>
        <w:t>y en la biodiversidad</w:t>
      </w:r>
      <w:r w:rsidR="00FA0D9C">
        <w:rPr>
          <w:rFonts w:ascii="Times New Roman" w:hAnsi="Times New Roman" w:cs="Times New Roman"/>
          <w:sz w:val="24"/>
        </w:rPr>
        <w:t xml:space="preserve"> genera a nivel local y global</w:t>
      </w:r>
      <w:r w:rsidR="00830816">
        <w:rPr>
          <w:rFonts w:ascii="Times New Roman" w:hAnsi="Times New Roman" w:cs="Times New Roman"/>
          <w:sz w:val="24"/>
        </w:rPr>
        <w:t xml:space="preserve"> de manera</w:t>
      </w:r>
      <w:r w:rsidR="00700ABF" w:rsidRPr="00700ABF">
        <w:rPr>
          <w:rFonts w:ascii="Times New Roman" w:hAnsi="Times New Roman" w:cs="Times New Roman"/>
          <w:sz w:val="24"/>
        </w:rPr>
        <w:t xml:space="preserve"> </w:t>
      </w:r>
      <w:r w:rsidR="00830816">
        <w:rPr>
          <w:rFonts w:ascii="Times New Roman" w:hAnsi="Times New Roman" w:cs="Times New Roman"/>
          <w:sz w:val="24"/>
        </w:rPr>
        <w:t>negativa</w:t>
      </w:r>
      <w:r w:rsidR="00FA0D9C">
        <w:rPr>
          <w:rFonts w:ascii="Times New Roman" w:hAnsi="Times New Roman" w:cs="Times New Roman"/>
          <w:sz w:val="24"/>
        </w:rPr>
        <w:t>, e</w:t>
      </w:r>
      <w:r w:rsidRPr="00E14FB0">
        <w:rPr>
          <w:rFonts w:ascii="Times New Roman" w:hAnsi="Times New Roman" w:cs="Times New Roman"/>
          <w:sz w:val="24"/>
        </w:rPr>
        <w:t>n las distintas fases de la explotación petrolera y</w:t>
      </w:r>
      <w:r w:rsidR="00830816">
        <w:rPr>
          <w:rFonts w:ascii="Times New Roman" w:hAnsi="Times New Roman" w:cs="Times New Roman"/>
          <w:sz w:val="24"/>
        </w:rPr>
        <w:t xml:space="preserve"> en</w:t>
      </w:r>
      <w:r w:rsidRPr="00E14FB0">
        <w:rPr>
          <w:rFonts w:ascii="Times New Roman" w:hAnsi="Times New Roman" w:cs="Times New Roman"/>
          <w:sz w:val="24"/>
        </w:rPr>
        <w:t xml:space="preserve"> las prácticas operacionales típi</w:t>
      </w:r>
      <w:r>
        <w:rPr>
          <w:rFonts w:ascii="Times New Roman" w:hAnsi="Times New Roman" w:cs="Times New Roman"/>
          <w:sz w:val="24"/>
        </w:rPr>
        <w:t>cas</w:t>
      </w:r>
      <w:r w:rsidR="00FA0D9C">
        <w:rPr>
          <w:rFonts w:ascii="Times New Roman" w:hAnsi="Times New Roman" w:cs="Times New Roman"/>
          <w:sz w:val="24"/>
        </w:rPr>
        <w:t>.</w:t>
      </w:r>
      <w:r>
        <w:rPr>
          <w:rFonts w:ascii="Times New Roman" w:hAnsi="Times New Roman" w:cs="Times New Roman"/>
          <w:sz w:val="24"/>
        </w:rPr>
        <w:t xml:space="preserve"> </w:t>
      </w:r>
      <w:r w:rsidR="00FA0D9C">
        <w:rPr>
          <w:rFonts w:ascii="Times New Roman" w:hAnsi="Times New Roman" w:cs="Times New Roman"/>
          <w:sz w:val="24"/>
        </w:rPr>
        <w:t>S</w:t>
      </w:r>
      <w:r w:rsidRPr="00E14FB0">
        <w:rPr>
          <w:rFonts w:ascii="Times New Roman" w:hAnsi="Times New Roman" w:cs="Times New Roman"/>
          <w:sz w:val="24"/>
        </w:rPr>
        <w:t>e produce destrucción de la biodiversidad y del ambiente en general</w:t>
      </w:r>
      <w:r>
        <w:rPr>
          <w:rFonts w:ascii="Times New Roman" w:hAnsi="Times New Roman" w:cs="Times New Roman"/>
          <w:sz w:val="24"/>
        </w:rPr>
        <w:t xml:space="preserve">. </w:t>
      </w:r>
      <w:r w:rsidRPr="00E14FB0">
        <w:rPr>
          <w:rFonts w:ascii="Times New Roman" w:hAnsi="Times New Roman" w:cs="Times New Roman"/>
          <w:sz w:val="24"/>
        </w:rPr>
        <w:t>Por otro lado, la quema de combustibles fósiles constituye la principal</w:t>
      </w:r>
      <w:r w:rsidR="002362E5">
        <w:rPr>
          <w:rFonts w:ascii="Times New Roman" w:hAnsi="Times New Roman" w:cs="Times New Roman"/>
          <w:sz w:val="24"/>
        </w:rPr>
        <w:t xml:space="preserve"> causa del calentamiento global</w:t>
      </w:r>
      <w:r w:rsidRPr="00E14FB0">
        <w:rPr>
          <w:rFonts w:ascii="Times New Roman" w:hAnsi="Times New Roman" w:cs="Times New Roman"/>
          <w:sz w:val="24"/>
        </w:rPr>
        <w:t xml:space="preserve">. </w:t>
      </w:r>
    </w:p>
    <w:p w:rsidR="002362E5" w:rsidRDefault="000D08CB" w:rsidP="00651677">
      <w:pPr>
        <w:spacing w:after="0" w:line="360" w:lineRule="auto"/>
        <w:jc w:val="both"/>
        <w:rPr>
          <w:rFonts w:ascii="Times New Roman" w:hAnsi="Times New Roman" w:cs="Times New Roman"/>
          <w:sz w:val="24"/>
        </w:rPr>
      </w:pPr>
      <w:r>
        <w:rPr>
          <w:rFonts w:ascii="Times New Roman" w:hAnsi="Times New Roman" w:cs="Times New Roman"/>
          <w:sz w:val="24"/>
        </w:rPr>
        <w:t>Para analizar los impactos de esta</w:t>
      </w:r>
      <w:r w:rsidR="00402044" w:rsidRPr="00E14FB0">
        <w:rPr>
          <w:rFonts w:ascii="Times New Roman" w:hAnsi="Times New Roman" w:cs="Times New Roman"/>
          <w:sz w:val="24"/>
        </w:rPr>
        <w:t xml:space="preserve"> industria en la biodiversidad, no podemos limitarnos a analizar el impacto que el petróleo crudo tiene en cada una de las especies o en los </w:t>
      </w:r>
      <w:r w:rsidR="00402044" w:rsidRPr="00E14FB0">
        <w:rPr>
          <w:rFonts w:ascii="Times New Roman" w:hAnsi="Times New Roman" w:cs="Times New Roman"/>
          <w:sz w:val="24"/>
        </w:rPr>
        <w:lastRenderedPageBreak/>
        <w:t>ecosistemas, sino que hay que entender cómo funciona la industria de la extracción petr</w:t>
      </w:r>
      <w:r w:rsidR="00830816">
        <w:rPr>
          <w:rFonts w:ascii="Times New Roman" w:hAnsi="Times New Roman" w:cs="Times New Roman"/>
          <w:sz w:val="24"/>
        </w:rPr>
        <w:t>olera en diferentes ecosistemas</w:t>
      </w:r>
      <w:r w:rsidR="00402044" w:rsidRPr="00E14FB0">
        <w:rPr>
          <w:rFonts w:ascii="Times New Roman" w:hAnsi="Times New Roman" w:cs="Times New Roman"/>
          <w:sz w:val="24"/>
        </w:rPr>
        <w:t xml:space="preserve"> </w:t>
      </w:r>
      <w:r w:rsidR="00700ABF">
        <w:rPr>
          <w:rFonts w:ascii="Times New Roman" w:hAnsi="Times New Roman" w:cs="Times New Roman"/>
          <w:sz w:val="24"/>
        </w:rPr>
        <w:t>y los</w:t>
      </w:r>
      <w:r w:rsidR="002362E5">
        <w:rPr>
          <w:rFonts w:ascii="Times New Roman" w:hAnsi="Times New Roman" w:cs="Times New Roman"/>
          <w:sz w:val="24"/>
        </w:rPr>
        <w:t xml:space="preserve"> residuales </w:t>
      </w:r>
      <w:r w:rsidR="00700ABF">
        <w:rPr>
          <w:rFonts w:ascii="Times New Roman" w:hAnsi="Times New Roman" w:cs="Times New Roman"/>
          <w:sz w:val="24"/>
        </w:rPr>
        <w:t xml:space="preserve">que genera </w:t>
      </w:r>
      <w:r w:rsidR="002362E5">
        <w:rPr>
          <w:rFonts w:ascii="Times New Roman" w:hAnsi="Times New Roman" w:cs="Times New Roman"/>
          <w:sz w:val="24"/>
        </w:rPr>
        <w:t>como</w:t>
      </w:r>
      <w:r w:rsidR="00830816">
        <w:rPr>
          <w:rFonts w:ascii="Times New Roman" w:hAnsi="Times New Roman" w:cs="Times New Roman"/>
          <w:sz w:val="24"/>
        </w:rPr>
        <w:t xml:space="preserve"> son</w:t>
      </w:r>
      <w:r w:rsidR="002362E5">
        <w:rPr>
          <w:rFonts w:ascii="Times New Roman" w:hAnsi="Times New Roman" w:cs="Times New Roman"/>
          <w:sz w:val="24"/>
        </w:rPr>
        <w:t xml:space="preserve"> los cortes de perforación contaminados con diésel</w:t>
      </w:r>
      <w:r w:rsidR="00700ABF">
        <w:rPr>
          <w:rFonts w:ascii="Times New Roman" w:hAnsi="Times New Roman" w:cs="Times New Roman"/>
          <w:sz w:val="24"/>
        </w:rPr>
        <w:t xml:space="preserve"> los</w:t>
      </w:r>
      <w:r w:rsidR="002362E5">
        <w:rPr>
          <w:rFonts w:ascii="Times New Roman" w:hAnsi="Times New Roman" w:cs="Times New Roman"/>
          <w:sz w:val="24"/>
        </w:rPr>
        <w:t xml:space="preserve"> </w:t>
      </w:r>
      <w:r w:rsidR="00700ABF">
        <w:rPr>
          <w:rFonts w:ascii="Times New Roman" w:hAnsi="Times New Roman" w:cs="Times New Roman"/>
          <w:sz w:val="24"/>
        </w:rPr>
        <w:t xml:space="preserve">cuales son una </w:t>
      </w:r>
      <w:r w:rsidR="00402044" w:rsidRPr="00E14FB0">
        <w:rPr>
          <w:rFonts w:ascii="Times New Roman" w:hAnsi="Times New Roman" w:cs="Times New Roman"/>
          <w:sz w:val="24"/>
        </w:rPr>
        <w:t>fuente de contaminación y de toxicidad para los organismos presentes en</w:t>
      </w:r>
      <w:r w:rsidR="00402044">
        <w:rPr>
          <w:rFonts w:ascii="Times New Roman" w:hAnsi="Times New Roman" w:cs="Times New Roman"/>
          <w:sz w:val="24"/>
        </w:rPr>
        <w:t xml:space="preserve"> un </w:t>
      </w:r>
      <w:r w:rsidR="00830816">
        <w:rPr>
          <w:rFonts w:ascii="Times New Roman" w:hAnsi="Times New Roman" w:cs="Times New Roman"/>
          <w:sz w:val="24"/>
        </w:rPr>
        <w:t xml:space="preserve">ecosistema </w:t>
      </w:r>
      <w:r w:rsidR="00402044">
        <w:rPr>
          <w:rFonts w:ascii="Times New Roman" w:hAnsi="Times New Roman" w:cs="Times New Roman"/>
          <w:sz w:val="24"/>
        </w:rPr>
        <w:t xml:space="preserve">por largo tiempo, </w:t>
      </w:r>
      <w:r w:rsidR="00402044" w:rsidRPr="00E14FB0">
        <w:rPr>
          <w:rFonts w:ascii="Times New Roman" w:hAnsi="Times New Roman" w:cs="Times New Roman"/>
          <w:sz w:val="24"/>
        </w:rPr>
        <w:t xml:space="preserve">principalmente </w:t>
      </w:r>
      <w:r w:rsidR="00700ABF">
        <w:rPr>
          <w:rFonts w:ascii="Times New Roman" w:hAnsi="Times New Roman" w:cs="Times New Roman"/>
          <w:sz w:val="24"/>
        </w:rPr>
        <w:t xml:space="preserve">en los </w:t>
      </w:r>
      <w:r w:rsidR="00402044" w:rsidRPr="00E14FB0">
        <w:rPr>
          <w:rFonts w:ascii="Times New Roman" w:hAnsi="Times New Roman" w:cs="Times New Roman"/>
          <w:sz w:val="24"/>
        </w:rPr>
        <w:t>países tercermundistas los cuales escasean de recursos para obtener tecnologías y sustancias amigables con el medio ambiente</w:t>
      </w:r>
      <w:r w:rsidR="00700ABF">
        <w:rPr>
          <w:rFonts w:ascii="Times New Roman" w:hAnsi="Times New Roman" w:cs="Times New Roman"/>
          <w:sz w:val="24"/>
        </w:rPr>
        <w:t xml:space="preserve"> a la hora de tratar ese residual que afecta directamente los suelos, las aguas y el aire.</w:t>
      </w:r>
    </w:p>
    <w:p w:rsidR="00B52B86" w:rsidRDefault="00830816" w:rsidP="00651677">
      <w:pPr>
        <w:spacing w:after="0" w:line="360" w:lineRule="auto"/>
        <w:jc w:val="both"/>
        <w:rPr>
          <w:rFonts w:ascii="Times New Roman" w:hAnsi="Times New Roman" w:cs="Times New Roman"/>
          <w:sz w:val="24"/>
        </w:rPr>
      </w:pPr>
      <w:r w:rsidRPr="00B52B86">
        <w:rPr>
          <w:rFonts w:ascii="Times New Roman" w:hAnsi="Times New Roman" w:cs="Times New Roman"/>
          <w:sz w:val="24"/>
        </w:rPr>
        <w:t>En un mundo cada vez más preocupado por la sostenibilidad y la conservación del medio ambiente, es esencial buscar soluciones innovadoras y eficientes para reducir la contaminación y promover la economía</w:t>
      </w:r>
      <w:r w:rsidR="00B52B86" w:rsidRPr="00B52B86">
        <w:rPr>
          <w:rFonts w:ascii="Times New Roman" w:hAnsi="Times New Roman" w:cs="Times New Roman"/>
          <w:sz w:val="24"/>
        </w:rPr>
        <w:t xml:space="preserve"> las cuales lleguen a todo el mundo y sean aplicables para todos los países tanto lo desarrollados como los que están envía de desarrollo</w:t>
      </w:r>
      <w:r w:rsidR="004B49CD">
        <w:rPr>
          <w:rFonts w:ascii="Times New Roman" w:hAnsi="Times New Roman" w:cs="Times New Roman"/>
          <w:sz w:val="24"/>
        </w:rPr>
        <w:t xml:space="preserve">, </w:t>
      </w:r>
      <w:r w:rsidR="00B52B86" w:rsidRPr="00B52B86">
        <w:rPr>
          <w:rFonts w:ascii="Times New Roman" w:hAnsi="Times New Roman" w:cs="Times New Roman"/>
          <w:sz w:val="24"/>
        </w:rPr>
        <w:t>para así construir nuevos horizontes de sostenibilidad y protección ambiental.</w:t>
      </w:r>
      <w:r w:rsidRPr="00B52B86">
        <w:rPr>
          <w:rFonts w:ascii="Times New Roman" w:hAnsi="Times New Roman" w:cs="Times New Roman"/>
          <w:sz w:val="24"/>
        </w:rPr>
        <w:t xml:space="preserve"> Una propuesta evaluada que podría revolucionar </w:t>
      </w:r>
      <w:r w:rsidR="00B52B86" w:rsidRPr="00B52B86">
        <w:rPr>
          <w:rFonts w:ascii="Times New Roman" w:hAnsi="Times New Roman" w:cs="Times New Roman"/>
          <w:sz w:val="24"/>
        </w:rPr>
        <w:t xml:space="preserve">en el mundo </w:t>
      </w:r>
      <w:r w:rsidRPr="00B52B86">
        <w:rPr>
          <w:rFonts w:ascii="Times New Roman" w:hAnsi="Times New Roman" w:cs="Times New Roman"/>
          <w:sz w:val="24"/>
        </w:rPr>
        <w:t xml:space="preserve">tanto la industria petrolera como la industria de la construcción es el reúso de cortes de perforación contaminados con diésel para la fabricación de pavimento asfáltico. </w:t>
      </w:r>
      <w:r w:rsidR="003011E8">
        <w:rPr>
          <w:rFonts w:ascii="Times New Roman" w:hAnsi="Times New Roman" w:cs="Times New Roman"/>
          <w:sz w:val="24"/>
        </w:rPr>
        <w:t xml:space="preserve">Este artículo, tiene como objetivo determinar </w:t>
      </w:r>
      <w:r w:rsidRPr="00B52B86">
        <w:rPr>
          <w:rFonts w:ascii="Times New Roman" w:hAnsi="Times New Roman" w:cs="Times New Roman"/>
          <w:sz w:val="24"/>
        </w:rPr>
        <w:t xml:space="preserve">cómo esta práctica podría desarrollarse en </w:t>
      </w:r>
      <w:r w:rsidR="003011E8">
        <w:rPr>
          <w:rFonts w:ascii="Times New Roman" w:hAnsi="Times New Roman" w:cs="Times New Roman"/>
          <w:sz w:val="24"/>
        </w:rPr>
        <w:t xml:space="preserve">el futuro </w:t>
      </w:r>
      <w:r w:rsidRPr="00B52B86">
        <w:rPr>
          <w:rFonts w:ascii="Times New Roman" w:hAnsi="Times New Roman" w:cs="Times New Roman"/>
          <w:sz w:val="24"/>
        </w:rPr>
        <w:t xml:space="preserve">y los impactos positivos que tendría en el medio ambiente y la sostenibilidad </w:t>
      </w:r>
      <w:r w:rsidR="003011E8">
        <w:rPr>
          <w:rFonts w:ascii="Times New Roman" w:hAnsi="Times New Roman" w:cs="Times New Roman"/>
          <w:sz w:val="24"/>
        </w:rPr>
        <w:t xml:space="preserve">para </w:t>
      </w:r>
      <w:r w:rsidR="00B52B86" w:rsidRPr="00B52B86">
        <w:rPr>
          <w:rFonts w:ascii="Times New Roman" w:hAnsi="Times New Roman" w:cs="Times New Roman"/>
          <w:sz w:val="24"/>
        </w:rPr>
        <w:t>el 2100.</w:t>
      </w:r>
    </w:p>
    <w:p w:rsidR="00B52B86" w:rsidRPr="007504D6" w:rsidRDefault="00B52B86" w:rsidP="00651677">
      <w:pPr>
        <w:pStyle w:val="Ttulo2"/>
        <w:spacing w:before="80" w:after="80" w:line="360" w:lineRule="auto"/>
        <w:rPr>
          <w:rFonts w:ascii="Times New Roman" w:eastAsia="Calibri" w:hAnsi="Times New Roman" w:cs="Times New Roman"/>
          <w:b/>
          <w:color w:val="auto"/>
          <w:sz w:val="24"/>
          <w:szCs w:val="24"/>
          <w:lang w:eastAsia="es-ES"/>
        </w:rPr>
      </w:pPr>
      <w:r w:rsidRPr="007504D6">
        <w:rPr>
          <w:rFonts w:ascii="Times New Roman" w:eastAsia="Calibri" w:hAnsi="Times New Roman" w:cs="Times New Roman"/>
          <w:b/>
          <w:color w:val="auto"/>
          <w:sz w:val="24"/>
          <w:szCs w:val="24"/>
          <w:lang w:eastAsia="es-ES"/>
        </w:rPr>
        <w:t>Capítulo 1. Resultado</w:t>
      </w:r>
      <w:r w:rsidR="003011E8">
        <w:rPr>
          <w:rFonts w:ascii="Times New Roman" w:eastAsia="Calibri" w:hAnsi="Times New Roman" w:cs="Times New Roman"/>
          <w:b/>
          <w:color w:val="auto"/>
          <w:sz w:val="24"/>
          <w:szCs w:val="24"/>
          <w:lang w:eastAsia="es-ES"/>
        </w:rPr>
        <w:t>s</w:t>
      </w:r>
      <w:r w:rsidRPr="007504D6">
        <w:rPr>
          <w:rFonts w:ascii="Times New Roman" w:eastAsia="Calibri" w:hAnsi="Times New Roman" w:cs="Times New Roman"/>
          <w:b/>
          <w:color w:val="auto"/>
          <w:sz w:val="24"/>
          <w:szCs w:val="24"/>
          <w:lang w:eastAsia="es-ES"/>
        </w:rPr>
        <w:t xml:space="preserve"> investigativo</w:t>
      </w:r>
      <w:r w:rsidR="003011E8">
        <w:rPr>
          <w:rFonts w:ascii="Times New Roman" w:eastAsia="Calibri" w:hAnsi="Times New Roman" w:cs="Times New Roman"/>
          <w:b/>
          <w:color w:val="auto"/>
          <w:sz w:val="24"/>
          <w:szCs w:val="24"/>
          <w:lang w:eastAsia="es-ES"/>
        </w:rPr>
        <w:t>s de la propuesta</w:t>
      </w:r>
      <w:r w:rsidRPr="007504D6">
        <w:rPr>
          <w:rFonts w:ascii="Times New Roman" w:eastAsia="Calibri" w:hAnsi="Times New Roman" w:cs="Times New Roman"/>
          <w:b/>
          <w:color w:val="auto"/>
          <w:sz w:val="24"/>
          <w:szCs w:val="24"/>
          <w:lang w:eastAsia="es-ES"/>
        </w:rPr>
        <w:t xml:space="preserve"> hacia horizontes 2100</w:t>
      </w:r>
    </w:p>
    <w:p w:rsidR="007504D6" w:rsidRPr="007504D6" w:rsidRDefault="00B52B86" w:rsidP="00651677">
      <w:pPr>
        <w:spacing w:after="0" w:line="360" w:lineRule="auto"/>
        <w:jc w:val="both"/>
        <w:rPr>
          <w:rFonts w:ascii="Times New Roman" w:hAnsi="Times New Roman" w:cs="Times New Roman"/>
          <w:sz w:val="24"/>
          <w:szCs w:val="24"/>
        </w:rPr>
      </w:pPr>
      <w:r w:rsidRPr="0039506A">
        <w:rPr>
          <w:rFonts w:ascii="Times New Roman" w:hAnsi="Times New Roman" w:cs="Times New Roman"/>
          <w:sz w:val="24"/>
          <w:szCs w:val="24"/>
          <w:lang w:eastAsia="es-ES"/>
        </w:rPr>
        <w:t xml:space="preserve">En el presente capítulo se exponen los resultados </w:t>
      </w:r>
      <w:r w:rsidR="003011E8">
        <w:rPr>
          <w:rFonts w:ascii="Times New Roman" w:hAnsi="Times New Roman" w:cs="Times New Roman"/>
          <w:sz w:val="24"/>
          <w:szCs w:val="24"/>
          <w:lang w:eastAsia="es-ES"/>
        </w:rPr>
        <w:t xml:space="preserve">científicos </w:t>
      </w:r>
      <w:r w:rsidRPr="0039506A">
        <w:rPr>
          <w:rFonts w:ascii="Times New Roman" w:hAnsi="Times New Roman" w:cs="Times New Roman"/>
          <w:sz w:val="24"/>
          <w:szCs w:val="24"/>
          <w:lang w:eastAsia="es-ES"/>
        </w:rPr>
        <w:t>alcanzados a partir de los ensayos realizados a los cortes de perforación contaminados con diésel. Así mismo, se valora la efectividad del reúso de los cortes como materia prima en la conformación de pavimento asfáltico</w:t>
      </w:r>
      <w:r w:rsidR="00FE3099" w:rsidRPr="0039506A">
        <w:rPr>
          <w:rFonts w:ascii="Times New Roman" w:hAnsi="Times New Roman" w:cs="Times New Roman"/>
          <w:sz w:val="24"/>
          <w:szCs w:val="24"/>
          <w:lang w:eastAsia="es-ES"/>
        </w:rPr>
        <w:t xml:space="preserve"> dando un valor de </w:t>
      </w:r>
      <w:r w:rsidR="0039506A">
        <w:rPr>
          <w:rFonts w:ascii="Times New Roman" w:hAnsi="Times New Roman" w:cs="Times New Roman"/>
          <w:sz w:val="24"/>
          <w:szCs w:val="24"/>
          <w:lang w:eastAsia="es-ES"/>
        </w:rPr>
        <w:t xml:space="preserve">uso a dicho residual y de esta manera implementar esta </w:t>
      </w:r>
      <w:r w:rsidR="00FE3099" w:rsidRPr="0039506A">
        <w:rPr>
          <w:rFonts w:ascii="Times New Roman" w:hAnsi="Times New Roman" w:cs="Times New Roman"/>
          <w:sz w:val="24"/>
          <w:szCs w:val="24"/>
          <w:lang w:eastAsia="es-ES"/>
        </w:rPr>
        <w:t>propuesta en todos los países principalmente en los que están en vías de desarrollo</w:t>
      </w:r>
      <w:r w:rsidR="0039506A" w:rsidRPr="0039506A">
        <w:rPr>
          <w:rFonts w:ascii="Times New Roman" w:hAnsi="Times New Roman" w:cs="Times New Roman"/>
          <w:sz w:val="24"/>
          <w:szCs w:val="24"/>
          <w:lang w:eastAsia="es-ES"/>
        </w:rPr>
        <w:t>.</w:t>
      </w:r>
      <w:r w:rsidR="00FE3099" w:rsidRPr="0039506A">
        <w:rPr>
          <w:rFonts w:ascii="Times New Roman" w:hAnsi="Times New Roman" w:cs="Times New Roman"/>
          <w:sz w:val="24"/>
          <w:szCs w:val="24"/>
          <w:lang w:eastAsia="es-ES"/>
        </w:rPr>
        <w:t xml:space="preserve"> </w:t>
      </w:r>
      <w:r w:rsidR="003011E8">
        <w:rPr>
          <w:rFonts w:ascii="Times New Roman" w:hAnsi="Times New Roman" w:cs="Times New Roman"/>
          <w:sz w:val="24"/>
          <w:szCs w:val="24"/>
          <w:lang w:eastAsia="es-ES"/>
        </w:rPr>
        <w:t xml:space="preserve">Pues </w:t>
      </w:r>
      <w:r w:rsidR="00FE3099" w:rsidRPr="0039506A">
        <w:rPr>
          <w:rFonts w:ascii="Times New Roman" w:hAnsi="Times New Roman" w:cs="Times New Roman"/>
          <w:sz w:val="24"/>
          <w:szCs w:val="24"/>
        </w:rPr>
        <w:t xml:space="preserve">se alinea con los principios de la economía circular y la sostenibilidad, al promover la reutilización de materiales contaminados, la reducción de residuos y la creación de productos sostenibles. Su implementación podría contribuir a un futuro más sostenible y respetuoso con el medio ambiente </w:t>
      </w:r>
      <w:r w:rsidR="0039506A" w:rsidRPr="0039506A">
        <w:rPr>
          <w:rFonts w:ascii="Times New Roman" w:hAnsi="Times New Roman" w:cs="Times New Roman"/>
          <w:sz w:val="24"/>
          <w:szCs w:val="24"/>
        </w:rPr>
        <w:t>camin</w:t>
      </w:r>
      <w:r w:rsidR="00FE3099" w:rsidRPr="0039506A">
        <w:rPr>
          <w:rFonts w:ascii="Times New Roman" w:hAnsi="Times New Roman" w:cs="Times New Roman"/>
          <w:sz w:val="24"/>
          <w:szCs w:val="24"/>
        </w:rPr>
        <w:t>o hacia el 2100.</w:t>
      </w:r>
    </w:p>
    <w:p w:rsidR="002151E0" w:rsidRPr="00651677" w:rsidRDefault="007504D6" w:rsidP="00651677">
      <w:pPr>
        <w:pStyle w:val="Ttulo2"/>
        <w:spacing w:before="80" w:after="80" w:line="360" w:lineRule="auto"/>
        <w:rPr>
          <w:rFonts w:ascii="Times New Roman" w:hAnsi="Times New Roman" w:cs="Times New Roman"/>
          <w:b/>
          <w:color w:val="auto"/>
          <w:sz w:val="24"/>
          <w:szCs w:val="24"/>
          <w:lang w:eastAsia="es-ES"/>
        </w:rPr>
      </w:pPr>
      <w:r w:rsidRPr="00651677">
        <w:rPr>
          <w:rFonts w:ascii="Times New Roman" w:eastAsia="Calibri" w:hAnsi="Times New Roman" w:cs="Times New Roman"/>
          <w:b/>
          <w:color w:val="auto"/>
          <w:sz w:val="24"/>
          <w:szCs w:val="24"/>
          <w:lang w:eastAsia="es-ES"/>
        </w:rPr>
        <w:t>1.1</w:t>
      </w:r>
      <w:r w:rsidR="002151E0" w:rsidRPr="00651677">
        <w:rPr>
          <w:rFonts w:ascii="Times New Roman" w:hAnsi="Times New Roman" w:cs="Times New Roman"/>
          <w:b/>
          <w:color w:val="auto"/>
          <w:sz w:val="24"/>
          <w:szCs w:val="24"/>
          <w:lang w:eastAsia="es-ES"/>
        </w:rPr>
        <w:t>.</w:t>
      </w:r>
      <w:bookmarkStart w:id="4" w:name="_Toc98983316"/>
      <w:r w:rsidR="002151E0" w:rsidRPr="00651677">
        <w:rPr>
          <w:rFonts w:ascii="Times New Roman" w:hAnsi="Times New Roman" w:cs="Times New Roman"/>
          <w:b/>
          <w:color w:val="auto"/>
          <w:sz w:val="24"/>
          <w:szCs w:val="24"/>
          <w:lang w:eastAsia="es-ES"/>
        </w:rPr>
        <w:t xml:space="preserve"> Características de los residuos</w:t>
      </w:r>
      <w:bookmarkEnd w:id="1"/>
      <w:bookmarkEnd w:id="2"/>
      <w:bookmarkEnd w:id="4"/>
      <w:r w:rsidR="002151E0" w:rsidRPr="00651677">
        <w:rPr>
          <w:rFonts w:ascii="Times New Roman" w:hAnsi="Times New Roman" w:cs="Times New Roman"/>
          <w:b/>
          <w:color w:val="auto"/>
          <w:sz w:val="24"/>
          <w:szCs w:val="24"/>
          <w:lang w:eastAsia="es-ES"/>
        </w:rPr>
        <w:t xml:space="preserve"> </w:t>
      </w:r>
    </w:p>
    <w:p w:rsidR="002151E0" w:rsidRPr="00651677" w:rsidRDefault="002151E0" w:rsidP="00651677">
      <w:pPr>
        <w:spacing w:after="0" w:line="360" w:lineRule="auto"/>
        <w:jc w:val="both"/>
        <w:rPr>
          <w:rFonts w:ascii="Times New Roman" w:eastAsia="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 xml:space="preserve">Los resultados de la caracterización </w:t>
      </w:r>
      <w:r w:rsidR="003F6B42" w:rsidRPr="00651677">
        <w:rPr>
          <w:rFonts w:ascii="Times New Roman" w:eastAsia="Times New Roman" w:hAnsi="Times New Roman" w:cs="Times New Roman"/>
          <w:sz w:val="24"/>
          <w:szCs w:val="24"/>
          <w:lang w:eastAsia="es-ES"/>
        </w:rPr>
        <w:t>físico-química se reportan en el anexo 1</w:t>
      </w:r>
      <w:r w:rsidRPr="00651677">
        <w:rPr>
          <w:rFonts w:ascii="Times New Roman" w:eastAsia="Times New Roman" w:hAnsi="Times New Roman" w:cs="Times New Roman"/>
          <w:sz w:val="24"/>
          <w:szCs w:val="24"/>
          <w:lang w:eastAsia="es-ES"/>
        </w:rPr>
        <w:t>. Los mismos evidenciaron valores de grasas y aceites, hidrocarburos totales de petróleo y pH que exceden los parámetros regulados para disposición final. Por tal motivo no pueden ser dispuestos sin previo tratamiento, según define la norma de tratamiento de resi</w:t>
      </w:r>
      <w:r w:rsidR="00DD539A" w:rsidRPr="00651677">
        <w:rPr>
          <w:rFonts w:ascii="Times New Roman" w:eastAsia="Times New Roman" w:hAnsi="Times New Roman" w:cs="Times New Roman"/>
          <w:sz w:val="24"/>
          <w:szCs w:val="24"/>
          <w:lang w:eastAsia="es-ES"/>
        </w:rPr>
        <w:t>duos petrolizados (NC 819:2017)</w:t>
      </w:r>
      <w:r w:rsidRPr="00651677">
        <w:rPr>
          <w:rFonts w:ascii="Times New Roman" w:eastAsia="Times New Roman" w:hAnsi="Times New Roman" w:cs="Times New Roman"/>
          <w:sz w:val="24"/>
          <w:szCs w:val="24"/>
          <w:lang w:eastAsia="es-ES"/>
        </w:rPr>
        <w:t>.</w:t>
      </w:r>
    </w:p>
    <w:p w:rsidR="002151E0" w:rsidRPr="00651677" w:rsidRDefault="002151E0" w:rsidP="00651677">
      <w:pPr>
        <w:spacing w:after="0" w:line="360" w:lineRule="auto"/>
        <w:jc w:val="both"/>
        <w:rPr>
          <w:rFonts w:ascii="Times New Roman" w:eastAsia="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lastRenderedPageBreak/>
        <w:t>Los cortes también poseen un alto porcentaje de humedad asociado al contenido de diésel en el mismo y que se encuentra superior al 5 % que se establece en la licencia ambiental otorgada</w:t>
      </w:r>
      <w:r w:rsidRPr="00651677">
        <w:rPr>
          <w:rFonts w:ascii="Times New Roman" w:hAnsi="Times New Roman" w:cs="Times New Roman"/>
          <w:sz w:val="24"/>
          <w:szCs w:val="24"/>
        </w:rPr>
        <w:t xml:space="preserve"> </w:t>
      </w:r>
      <w:r w:rsidR="00DD539A" w:rsidRPr="00651677">
        <w:rPr>
          <w:rFonts w:ascii="Times New Roman" w:eastAsia="Times New Roman" w:hAnsi="Times New Roman" w:cs="Times New Roman"/>
          <w:sz w:val="24"/>
          <w:szCs w:val="24"/>
          <w:lang w:eastAsia="es-ES"/>
        </w:rPr>
        <w:t>por el organismo regulador (Resolución 136:2009)</w:t>
      </w:r>
      <w:r w:rsidRPr="00651677">
        <w:rPr>
          <w:rFonts w:ascii="Times New Roman" w:eastAsia="Times New Roman" w:hAnsi="Times New Roman" w:cs="Times New Roman"/>
          <w:sz w:val="24"/>
          <w:szCs w:val="24"/>
          <w:lang w:eastAsia="es-ES"/>
        </w:rPr>
        <w:t>.</w:t>
      </w:r>
    </w:p>
    <w:p w:rsidR="002151E0" w:rsidRPr="00651677" w:rsidRDefault="007504D6" w:rsidP="00651677">
      <w:pPr>
        <w:pStyle w:val="Ttulo2"/>
        <w:spacing w:before="80" w:after="80" w:line="360" w:lineRule="auto"/>
        <w:rPr>
          <w:rFonts w:ascii="Times New Roman" w:eastAsia="Calibri" w:hAnsi="Times New Roman" w:cs="Times New Roman"/>
          <w:b/>
          <w:color w:val="auto"/>
          <w:sz w:val="24"/>
          <w:szCs w:val="24"/>
          <w:lang w:eastAsia="es-ES"/>
        </w:rPr>
      </w:pPr>
      <w:bookmarkStart w:id="5" w:name="_Toc137102351"/>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.1.2. Composición granulométrica del corte seco</w:t>
      </w:r>
      <w:bookmarkEnd w:id="5"/>
      <w:r w:rsidR="002151E0" w:rsidRPr="00651677">
        <w:rPr>
          <w:rFonts w:ascii="Times New Roman" w:eastAsia="Calibri" w:hAnsi="Times New Roman" w:cs="Times New Roman"/>
          <w:b/>
          <w:color w:val="auto"/>
          <w:sz w:val="24"/>
          <w:szCs w:val="24"/>
          <w:lang w:eastAsia="es-ES"/>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lang w:eastAsia="es-ES"/>
        </w:rPr>
        <w:t xml:space="preserve">Los resultados del análisis granulométrico </w:t>
      </w:r>
      <w:r w:rsidR="00D539C8" w:rsidRPr="00651677">
        <w:rPr>
          <w:rFonts w:ascii="Times New Roman" w:hAnsi="Times New Roman" w:cs="Times New Roman"/>
          <w:sz w:val="24"/>
          <w:szCs w:val="24"/>
          <w:lang w:eastAsia="es-ES"/>
        </w:rPr>
        <w:t xml:space="preserve">evidenciaron que </w:t>
      </w:r>
      <w:r w:rsidR="00D539C8" w:rsidRPr="00651677">
        <w:rPr>
          <w:rFonts w:ascii="Times New Roman" w:hAnsi="Times New Roman" w:cs="Times New Roman"/>
          <w:sz w:val="24"/>
          <w:szCs w:val="24"/>
        </w:rPr>
        <w:t>l</w:t>
      </w:r>
      <w:r w:rsidRPr="00651677">
        <w:rPr>
          <w:rFonts w:ascii="Times New Roman" w:hAnsi="Times New Roman" w:cs="Times New Roman"/>
          <w:sz w:val="24"/>
          <w:szCs w:val="24"/>
        </w:rPr>
        <w:t xml:space="preserve">a granulometría del corte seco se encuentra dentro del rango 0,075 - 0,01 mm en tamizado No. 200 ya que pasa la mayor cantidad (88%). Esto corresponde a un árido tipo fino compuesto por limo, </w:t>
      </w:r>
      <w:r w:rsidR="00DD539A" w:rsidRPr="00651677">
        <w:rPr>
          <w:rFonts w:ascii="Times New Roman" w:hAnsi="Times New Roman" w:cs="Times New Roman"/>
          <w:sz w:val="24"/>
          <w:szCs w:val="24"/>
        </w:rPr>
        <w:t>arcilla y coloides (NC 20:1999)</w:t>
      </w:r>
      <w:r w:rsidRPr="00651677">
        <w:rPr>
          <w:rFonts w:ascii="Times New Roman" w:hAnsi="Times New Roman" w:cs="Times New Roman"/>
          <w:sz w:val="24"/>
          <w:szCs w:val="24"/>
        </w:rPr>
        <w:t>.</w:t>
      </w:r>
    </w:p>
    <w:p w:rsidR="006A3312"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lang w:eastAsia="es-ES"/>
        </w:rPr>
        <w:t>Para la evaluación del tipo de árido que conforma el corte de perforación se consideró la norma cubana (NC 759:2010) sobre</w:t>
      </w:r>
      <w:r w:rsidR="007504D6" w:rsidRPr="00651677">
        <w:rPr>
          <w:rFonts w:ascii="Times New Roman" w:hAnsi="Times New Roman" w:cs="Times New Roman"/>
          <w:sz w:val="24"/>
          <w:szCs w:val="24"/>
          <w:lang w:eastAsia="es-ES"/>
        </w:rPr>
        <w:t xml:space="preserve"> áridos para mezclas asfálticas</w:t>
      </w:r>
      <w:r w:rsidRPr="00651677">
        <w:rPr>
          <w:rFonts w:ascii="Times New Roman" w:hAnsi="Times New Roman" w:cs="Times New Roman"/>
          <w:sz w:val="24"/>
          <w:szCs w:val="24"/>
          <w:lang w:eastAsia="es-ES"/>
        </w:rPr>
        <w:t xml:space="preserve">. </w:t>
      </w:r>
      <w:r w:rsidRPr="00651677">
        <w:rPr>
          <w:rFonts w:ascii="Times New Roman" w:hAnsi="Times New Roman" w:cs="Times New Roman"/>
          <w:sz w:val="24"/>
          <w:szCs w:val="24"/>
        </w:rPr>
        <w:t xml:space="preserve">El corte seco clasifica según su granulometría como </w:t>
      </w:r>
      <w:r w:rsidRPr="00651677">
        <w:rPr>
          <w:rFonts w:ascii="Times New Roman" w:hAnsi="Times New Roman" w:cs="Times New Roman"/>
          <w:i/>
          <w:sz w:val="24"/>
          <w:szCs w:val="24"/>
        </w:rPr>
        <w:t>filler</w:t>
      </w:r>
      <w:r w:rsidRPr="00651677">
        <w:rPr>
          <w:rFonts w:ascii="Times New Roman" w:hAnsi="Times New Roman" w:cs="Times New Roman"/>
          <w:sz w:val="24"/>
          <w:szCs w:val="24"/>
        </w:rPr>
        <w:t xml:space="preserve"> para mezclas asfálticas (relleno mineral). En tal caso se considera un material finamente dividido donde más del 70 % de las partículas pasa por el tamiz 200. Los </w:t>
      </w:r>
      <w:proofErr w:type="spellStart"/>
      <w:r w:rsidRPr="00651677">
        <w:rPr>
          <w:rFonts w:ascii="Times New Roman" w:hAnsi="Times New Roman" w:cs="Times New Roman"/>
          <w:i/>
          <w:sz w:val="24"/>
          <w:szCs w:val="24"/>
        </w:rPr>
        <w:t>fillers</w:t>
      </w:r>
      <w:proofErr w:type="spellEnd"/>
      <w:r w:rsidR="009D7D84" w:rsidRPr="00651677">
        <w:rPr>
          <w:rFonts w:ascii="Times New Roman" w:hAnsi="Times New Roman" w:cs="Times New Roman"/>
          <w:sz w:val="24"/>
          <w:szCs w:val="24"/>
        </w:rPr>
        <w:t xml:space="preserve"> </w:t>
      </w:r>
      <w:r w:rsidRPr="00651677">
        <w:rPr>
          <w:rFonts w:ascii="Times New Roman" w:hAnsi="Times New Roman" w:cs="Times New Roman"/>
          <w:sz w:val="24"/>
          <w:szCs w:val="24"/>
        </w:rPr>
        <w:t>son usados principalmente como modificadores de la granulometría del árido</w:t>
      </w:r>
      <w:r w:rsidR="00DD539A" w:rsidRPr="00651677">
        <w:rPr>
          <w:rFonts w:ascii="Times New Roman" w:hAnsi="Times New Roman" w:cs="Times New Roman"/>
          <w:sz w:val="24"/>
          <w:szCs w:val="24"/>
        </w:rPr>
        <w:t xml:space="preserve"> (NC 759:2010).</w:t>
      </w:r>
      <w:r w:rsidRPr="00651677">
        <w:rPr>
          <w:rFonts w:ascii="Times New Roman" w:hAnsi="Times New Roman" w:cs="Times New Roman"/>
          <w:sz w:val="24"/>
          <w:szCs w:val="24"/>
        </w:rPr>
        <w:t xml:space="preserve"> De este modo se posibilita mejorar la trabajabilidad, la adherencia y la durabilidad de los áridos permitiendo la utilización de los cortes como componente parcial en la sustitución de los áridos que se utilizan convencionalmente para la producción de pavimentos asfálticos.</w:t>
      </w:r>
      <w:bookmarkStart w:id="6" w:name="_Toc137102352"/>
    </w:p>
    <w:p w:rsidR="002151E0" w:rsidRPr="00651677" w:rsidRDefault="007504D6" w:rsidP="00651677">
      <w:pPr>
        <w:pStyle w:val="Ttulo2"/>
        <w:spacing w:before="80" w:after="80" w:line="360" w:lineRule="auto"/>
        <w:rPr>
          <w:rFonts w:ascii="Times New Roman" w:eastAsia="Calibri" w:hAnsi="Times New Roman" w:cs="Times New Roman"/>
          <w:b/>
          <w:color w:val="auto"/>
          <w:sz w:val="24"/>
          <w:szCs w:val="24"/>
          <w:lang w:eastAsia="es-ES"/>
        </w:rPr>
      </w:pPr>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.2. Estado de compactación del corte seco como suelo</w:t>
      </w:r>
      <w:bookmarkEnd w:id="6"/>
    </w:p>
    <w:p w:rsidR="00AA2FEF" w:rsidRPr="00651677" w:rsidRDefault="00AA2FEF"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La variación del porcentaje de humedad se representó gráficamente</w:t>
      </w:r>
      <w:r w:rsidR="007504D6" w:rsidRPr="00651677">
        <w:rPr>
          <w:rFonts w:ascii="Times New Roman" w:hAnsi="Times New Roman" w:cs="Times New Roman"/>
          <w:sz w:val="24"/>
          <w:szCs w:val="24"/>
        </w:rPr>
        <w:t xml:space="preserve"> (figura 1</w:t>
      </w:r>
      <w:r w:rsidRPr="00651677">
        <w:rPr>
          <w:rFonts w:ascii="Times New Roman" w:hAnsi="Times New Roman" w:cs="Times New Roman"/>
          <w:sz w:val="24"/>
          <w:szCs w:val="24"/>
        </w:rPr>
        <w:t>), con el objetivo de valorar el corte seco con diferentes contenidos de agua y no solo su comportamiento individual. El análisis se realizó por cada propiedad medida. Los valores de referencia marcados en los gráficos correspon</w:t>
      </w:r>
      <w:r w:rsidR="00DD539A" w:rsidRPr="00651677">
        <w:rPr>
          <w:rFonts w:ascii="Times New Roman" w:hAnsi="Times New Roman" w:cs="Times New Roman"/>
          <w:sz w:val="24"/>
          <w:szCs w:val="24"/>
        </w:rPr>
        <w:t xml:space="preserve">den a los exigidos en la norma </w:t>
      </w:r>
      <w:r w:rsidR="00DD539A" w:rsidRPr="00651677">
        <w:rPr>
          <w:rFonts w:ascii="Times New Roman" w:hAnsi="Times New Roman" w:cs="Times New Roman"/>
          <w:sz w:val="24"/>
          <w:szCs w:val="24"/>
          <w:lang w:eastAsia="es-ES"/>
        </w:rPr>
        <w:t>(ASTM D 1557:12)</w:t>
      </w:r>
      <w:r w:rsidRPr="00651677">
        <w:rPr>
          <w:rFonts w:ascii="Times New Roman" w:hAnsi="Times New Roman" w:cs="Times New Roman"/>
          <w:sz w:val="24"/>
          <w:szCs w:val="24"/>
        </w:rPr>
        <w:t>. A partir del peso específico del corte de perforación en estado seco y suelto (18,53 kN/m3) se obtuvo la humedad óptima de 9,3 % para la compactación del material como suelos, pues con un contenido de humedad superior a este comienza a decrecer el peso específico lo que afecta la compactación, integridad y calidad del material para su uso como pavimento. Dicho resultado se debe tener en cuenta en las posteriores pruebas de campo pues con una humedad aproximada se garantiza que el corte seco compacte de manera viable lo que influye en la durabilidad y calidad de dicho suelo. También se obtuvo una saturación 82 % lo que significa que la muestra de suelo se ha compactado con una cantidad de agua que representa el 82 % de lo puede retener y, aun así, ser compactado a su máxima densidad seca. Tal situación se considera óptima según se especifica en la</w:t>
      </w:r>
      <w:r w:rsidR="00DD539A" w:rsidRPr="00651677">
        <w:rPr>
          <w:rFonts w:ascii="Times New Roman" w:hAnsi="Times New Roman" w:cs="Times New Roman"/>
          <w:sz w:val="24"/>
          <w:szCs w:val="24"/>
        </w:rPr>
        <w:t xml:space="preserve"> norma </w:t>
      </w:r>
      <w:r w:rsidR="00DD539A" w:rsidRPr="00651677">
        <w:rPr>
          <w:rFonts w:ascii="Times New Roman" w:hAnsi="Times New Roman" w:cs="Times New Roman"/>
          <w:sz w:val="24"/>
          <w:szCs w:val="24"/>
          <w:lang w:eastAsia="es-ES"/>
        </w:rPr>
        <w:t>(ASTM D 1557:12)</w:t>
      </w:r>
      <w:r w:rsidRPr="00651677">
        <w:rPr>
          <w:rFonts w:ascii="Times New Roman" w:hAnsi="Times New Roman" w:cs="Times New Roman"/>
          <w:sz w:val="24"/>
          <w:szCs w:val="24"/>
        </w:rPr>
        <w:t>.</w:t>
      </w:r>
    </w:p>
    <w:p w:rsidR="002151E0" w:rsidRPr="00651677" w:rsidRDefault="00AA2FEF" w:rsidP="00651677">
      <w:pPr>
        <w:spacing w:after="0" w:line="360" w:lineRule="auto"/>
        <w:jc w:val="center"/>
        <w:rPr>
          <w:rFonts w:ascii="Times New Roman" w:hAnsi="Times New Roman" w:cs="Times New Roman"/>
          <w:sz w:val="24"/>
          <w:szCs w:val="24"/>
        </w:rPr>
      </w:pPr>
      <w:r w:rsidRPr="00651677">
        <w:rPr>
          <w:rFonts w:ascii="Times New Roman" w:hAnsi="Times New Roman" w:cs="Times New Roman"/>
          <w:noProof/>
          <w:color w:val="3B3838"/>
          <w:sz w:val="24"/>
          <w:szCs w:val="24"/>
          <w:lang w:eastAsia="es-ES"/>
        </w:rPr>
        <w:lastRenderedPageBreak/>
        <w:drawing>
          <wp:inline distT="0" distB="0" distL="0" distR="0" wp14:anchorId="5249A112" wp14:editId="6DB506C1">
            <wp:extent cx="4476929" cy="2225040"/>
            <wp:effectExtent l="0" t="0" r="0" b="381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51E0" w:rsidRPr="00651677" w:rsidRDefault="007504D6" w:rsidP="00651677">
      <w:pPr>
        <w:spacing w:line="360" w:lineRule="auto"/>
        <w:jc w:val="center"/>
        <w:rPr>
          <w:rFonts w:ascii="Times New Roman" w:hAnsi="Times New Roman" w:cs="Times New Roman"/>
          <w:sz w:val="24"/>
          <w:szCs w:val="24"/>
        </w:rPr>
      </w:pPr>
      <w:r w:rsidRPr="00651677">
        <w:rPr>
          <w:rFonts w:ascii="Times New Roman" w:hAnsi="Times New Roman" w:cs="Times New Roman"/>
          <w:b/>
          <w:sz w:val="24"/>
          <w:szCs w:val="24"/>
        </w:rPr>
        <w:t>Figura 1</w:t>
      </w:r>
      <w:r w:rsidR="002151E0" w:rsidRPr="00651677">
        <w:rPr>
          <w:rFonts w:ascii="Times New Roman" w:hAnsi="Times New Roman" w:cs="Times New Roman"/>
          <w:b/>
          <w:sz w:val="24"/>
          <w:szCs w:val="24"/>
        </w:rPr>
        <w:t>.</w:t>
      </w:r>
      <w:r w:rsidR="002151E0" w:rsidRPr="00651677">
        <w:rPr>
          <w:rFonts w:ascii="Times New Roman" w:hAnsi="Times New Roman" w:cs="Times New Roman"/>
          <w:sz w:val="24"/>
          <w:szCs w:val="24"/>
        </w:rPr>
        <w:t xml:space="preserve"> Compactación del corte seco como suelo</w:t>
      </w:r>
    </w:p>
    <w:p w:rsidR="002151E0" w:rsidRPr="00651677" w:rsidRDefault="002151E0" w:rsidP="00651677">
      <w:pPr>
        <w:spacing w:before="240" w:after="120" w:line="360" w:lineRule="auto"/>
        <w:contextualSpacing/>
        <w:jc w:val="both"/>
        <w:rPr>
          <w:rFonts w:ascii="Times New Roman" w:eastAsia="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En general la humedad puede actuar sobre la pérdida de adherencia, lo que es el punto de partida de muchas fallas en el pavimento ya que ataca directamente la compatibilidad entre el asfalto y los áridos, así como la cohesión de la matriz de asfalto. En este sentido es posible que el contenido de diésel presente en el corte seco permita la compactación del material con un menor grado de agua lo que influye positivamente para evitar la pérdida de la adherencia o cohesión. Como resultado se obtendrá la reducción de la rigidez o resistencia para los materiales</w:t>
      </w:r>
      <w:r w:rsidR="003011E8">
        <w:rPr>
          <w:rFonts w:ascii="Times New Roman" w:eastAsia="Times New Roman" w:hAnsi="Times New Roman" w:cs="Times New Roman"/>
          <w:sz w:val="24"/>
          <w:szCs w:val="24"/>
          <w:lang w:eastAsia="es-ES"/>
        </w:rPr>
        <w:t xml:space="preserve"> de pavimentación de carreteras.</w:t>
      </w:r>
    </w:p>
    <w:p w:rsidR="002151E0" w:rsidRPr="00651677" w:rsidRDefault="00074E64" w:rsidP="00651677">
      <w:pPr>
        <w:pStyle w:val="Ttulo2"/>
        <w:spacing w:before="80" w:after="80" w:line="360" w:lineRule="auto"/>
        <w:rPr>
          <w:rFonts w:ascii="Times New Roman" w:eastAsia="Calibri" w:hAnsi="Times New Roman" w:cs="Times New Roman"/>
          <w:b/>
          <w:color w:val="auto"/>
          <w:sz w:val="24"/>
          <w:szCs w:val="24"/>
          <w:lang w:eastAsia="es-ES"/>
        </w:rPr>
      </w:pPr>
      <w:bookmarkStart w:id="7" w:name="_Toc137102353"/>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.3. Evaluación de mezcla para pavimento</w:t>
      </w:r>
      <w:bookmarkEnd w:id="7"/>
    </w:p>
    <w:p w:rsidR="002151E0" w:rsidRPr="00651677" w:rsidRDefault="002151E0" w:rsidP="00651677">
      <w:pPr>
        <w:spacing w:line="360" w:lineRule="auto"/>
        <w:contextualSpacing/>
        <w:jc w:val="both"/>
        <w:rPr>
          <w:rFonts w:ascii="Times New Roman" w:eastAsia="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 xml:space="preserve">Los resultados al utilizar el corte seco para la confección de las probetas con las mezclas diseñadas mostraron una homogeneidad y compactación favorable desde el punto de vista visual. Sin embargo, en el caso de las probetas que contenían los cortes húmedos evidenciaron signos de plasticidad al tacto, debido al alto nivel de hidrocarburo que presentaban en su composición. Tal situación comprometía la integridad parcial de las probetas como resultado del </w:t>
      </w:r>
      <w:r w:rsidR="00057887" w:rsidRPr="00651677">
        <w:rPr>
          <w:rFonts w:ascii="Times New Roman" w:eastAsia="Times New Roman" w:hAnsi="Times New Roman" w:cs="Times New Roman"/>
          <w:sz w:val="24"/>
          <w:szCs w:val="24"/>
          <w:lang w:eastAsia="es-ES"/>
        </w:rPr>
        <w:t xml:space="preserve">desmoronamiento. </w:t>
      </w:r>
      <w:r w:rsidRPr="00651677">
        <w:rPr>
          <w:rFonts w:ascii="Times New Roman" w:eastAsia="Times New Roman" w:hAnsi="Times New Roman" w:cs="Times New Roman"/>
          <w:sz w:val="24"/>
          <w:szCs w:val="24"/>
          <w:lang w:eastAsia="es-ES"/>
        </w:rPr>
        <w:t>Por tal motivo se determinó continuar las pruebas solamente con las probetas con corte seco.</w:t>
      </w:r>
    </w:p>
    <w:p w:rsidR="002151E0" w:rsidRPr="00651677" w:rsidRDefault="002151E0" w:rsidP="00651677">
      <w:pPr>
        <w:spacing w:after="0" w:line="360" w:lineRule="auto"/>
        <w:jc w:val="both"/>
        <w:rPr>
          <w:rFonts w:ascii="Times New Roman" w:eastAsia="Times New Roman" w:hAnsi="Times New Roman" w:cs="Times New Roman"/>
          <w:color w:val="000000"/>
          <w:sz w:val="24"/>
          <w:szCs w:val="24"/>
          <w:lang w:eastAsia="es-ES"/>
        </w:rPr>
      </w:pPr>
      <w:r w:rsidRPr="00651677">
        <w:rPr>
          <w:rFonts w:ascii="Times New Roman" w:eastAsia="Times New Roman" w:hAnsi="Times New Roman" w:cs="Times New Roman"/>
          <w:color w:val="000000"/>
          <w:sz w:val="24"/>
          <w:szCs w:val="24"/>
          <w:lang w:eastAsia="es-ES"/>
        </w:rPr>
        <w:t>Los cálculos de las densidades a las probetas de corte seco (S</w:t>
      </w:r>
      <w:r w:rsidRPr="00651677">
        <w:rPr>
          <w:rFonts w:ascii="Times New Roman" w:eastAsia="Times New Roman" w:hAnsi="Times New Roman" w:cs="Times New Roman"/>
          <w:color w:val="000000"/>
          <w:sz w:val="24"/>
          <w:szCs w:val="24"/>
          <w:vertAlign w:val="subscript"/>
          <w:lang w:eastAsia="es-ES"/>
        </w:rPr>
        <w:t>1</w:t>
      </w:r>
      <w:r w:rsidRPr="00651677">
        <w:rPr>
          <w:rFonts w:ascii="Times New Roman" w:eastAsia="Times New Roman" w:hAnsi="Times New Roman" w:cs="Times New Roman"/>
          <w:color w:val="000000"/>
          <w:sz w:val="24"/>
          <w:szCs w:val="24"/>
          <w:lang w:eastAsia="es-ES"/>
        </w:rPr>
        <w:t>, S</w:t>
      </w:r>
      <w:r w:rsidRPr="00651677">
        <w:rPr>
          <w:rFonts w:ascii="Times New Roman" w:eastAsia="Times New Roman" w:hAnsi="Times New Roman" w:cs="Times New Roman"/>
          <w:color w:val="000000"/>
          <w:sz w:val="24"/>
          <w:szCs w:val="24"/>
          <w:vertAlign w:val="subscript"/>
          <w:lang w:eastAsia="es-ES"/>
        </w:rPr>
        <w:t>2</w:t>
      </w:r>
      <w:r w:rsidRPr="00651677">
        <w:rPr>
          <w:rFonts w:ascii="Times New Roman" w:eastAsia="Times New Roman" w:hAnsi="Times New Roman" w:cs="Times New Roman"/>
          <w:color w:val="000000"/>
          <w:sz w:val="24"/>
          <w:szCs w:val="24"/>
          <w:lang w:eastAsia="es-ES"/>
        </w:rPr>
        <w:t>, S</w:t>
      </w:r>
      <w:r w:rsidRPr="00651677">
        <w:rPr>
          <w:rFonts w:ascii="Times New Roman" w:eastAsia="Times New Roman" w:hAnsi="Times New Roman" w:cs="Times New Roman"/>
          <w:color w:val="000000"/>
          <w:sz w:val="24"/>
          <w:szCs w:val="24"/>
          <w:vertAlign w:val="subscript"/>
          <w:lang w:eastAsia="es-ES"/>
        </w:rPr>
        <w:t>3</w:t>
      </w:r>
      <w:r w:rsidRPr="00651677">
        <w:rPr>
          <w:rFonts w:ascii="Times New Roman" w:eastAsia="Times New Roman" w:hAnsi="Times New Roman" w:cs="Times New Roman"/>
          <w:color w:val="000000"/>
          <w:sz w:val="24"/>
          <w:szCs w:val="24"/>
          <w:lang w:eastAsia="es-ES"/>
        </w:rPr>
        <w:t>, S</w:t>
      </w:r>
      <w:r w:rsidRPr="00651677">
        <w:rPr>
          <w:rFonts w:ascii="Times New Roman" w:eastAsia="Times New Roman" w:hAnsi="Times New Roman" w:cs="Times New Roman"/>
          <w:color w:val="000000"/>
          <w:sz w:val="24"/>
          <w:szCs w:val="24"/>
          <w:vertAlign w:val="subscript"/>
          <w:lang w:eastAsia="es-ES"/>
        </w:rPr>
        <w:t xml:space="preserve">4, </w:t>
      </w:r>
      <w:r w:rsidRPr="00651677">
        <w:rPr>
          <w:rFonts w:ascii="Times New Roman" w:eastAsia="Times New Roman" w:hAnsi="Times New Roman" w:cs="Times New Roman"/>
          <w:color w:val="000000"/>
          <w:sz w:val="24"/>
          <w:szCs w:val="24"/>
          <w:lang w:eastAsia="es-ES"/>
        </w:rPr>
        <w:t>S</w:t>
      </w:r>
      <w:r w:rsidRPr="00651677">
        <w:rPr>
          <w:rFonts w:ascii="Times New Roman" w:eastAsia="Times New Roman" w:hAnsi="Times New Roman" w:cs="Times New Roman"/>
          <w:color w:val="000000"/>
          <w:sz w:val="24"/>
          <w:szCs w:val="24"/>
          <w:vertAlign w:val="subscript"/>
          <w:lang w:eastAsia="es-ES"/>
        </w:rPr>
        <w:t>6</w:t>
      </w:r>
      <w:r w:rsidRPr="00651677">
        <w:rPr>
          <w:rFonts w:ascii="Times New Roman" w:eastAsia="Times New Roman" w:hAnsi="Times New Roman" w:cs="Times New Roman"/>
          <w:color w:val="000000"/>
          <w:sz w:val="24"/>
          <w:szCs w:val="24"/>
          <w:lang w:eastAsia="es-ES"/>
        </w:rPr>
        <w:t xml:space="preserve"> y S</w:t>
      </w:r>
      <w:r w:rsidRPr="00651677">
        <w:rPr>
          <w:rFonts w:ascii="Times New Roman" w:eastAsia="Times New Roman" w:hAnsi="Times New Roman" w:cs="Times New Roman"/>
          <w:color w:val="000000"/>
          <w:sz w:val="24"/>
          <w:szCs w:val="24"/>
          <w:vertAlign w:val="subscript"/>
          <w:lang w:eastAsia="es-ES"/>
        </w:rPr>
        <w:t>7</w:t>
      </w:r>
      <w:r w:rsidR="003F6B42" w:rsidRPr="00651677">
        <w:rPr>
          <w:rFonts w:ascii="Times New Roman" w:eastAsia="Times New Roman" w:hAnsi="Times New Roman" w:cs="Times New Roman"/>
          <w:color w:val="000000"/>
          <w:sz w:val="24"/>
          <w:szCs w:val="24"/>
          <w:lang w:eastAsia="es-ES"/>
        </w:rPr>
        <w:t>) se presentan en el anexo 2</w:t>
      </w:r>
      <w:r w:rsidRPr="00651677">
        <w:rPr>
          <w:rFonts w:ascii="Times New Roman" w:eastAsia="Times New Roman" w:hAnsi="Times New Roman" w:cs="Times New Roman"/>
          <w:color w:val="000000"/>
          <w:sz w:val="24"/>
          <w:szCs w:val="24"/>
          <w:lang w:eastAsia="es-ES"/>
        </w:rPr>
        <w:t xml:space="preserve">, donde se obtuvieron valores </w:t>
      </w:r>
      <w:r w:rsidR="006A3312" w:rsidRPr="00651677">
        <w:rPr>
          <w:rFonts w:ascii="Times New Roman" w:eastAsia="Times New Roman" w:hAnsi="Times New Roman" w:cs="Times New Roman"/>
          <w:color w:val="000000"/>
          <w:sz w:val="24"/>
          <w:szCs w:val="24"/>
          <w:lang w:eastAsia="es-ES"/>
        </w:rPr>
        <w:t xml:space="preserve">viables </w:t>
      </w:r>
      <w:r w:rsidRPr="00651677">
        <w:rPr>
          <w:rFonts w:ascii="Times New Roman" w:eastAsia="Times New Roman" w:hAnsi="Times New Roman" w:cs="Times New Roman"/>
          <w:color w:val="000000"/>
          <w:sz w:val="24"/>
          <w:szCs w:val="24"/>
          <w:lang w:eastAsia="es-ES"/>
        </w:rPr>
        <w:t>respecto a la densidad (superior a 2,33 g/cm</w:t>
      </w:r>
      <w:r w:rsidRPr="00651677">
        <w:rPr>
          <w:rFonts w:ascii="Times New Roman" w:eastAsia="Times New Roman" w:hAnsi="Times New Roman" w:cs="Times New Roman"/>
          <w:color w:val="000000"/>
          <w:sz w:val="24"/>
          <w:szCs w:val="24"/>
          <w:vertAlign w:val="superscript"/>
          <w:lang w:eastAsia="es-ES"/>
        </w:rPr>
        <w:t>3</w:t>
      </w:r>
      <w:r w:rsidRPr="00651677">
        <w:rPr>
          <w:rFonts w:ascii="Times New Roman" w:eastAsia="Times New Roman" w:hAnsi="Times New Roman" w:cs="Times New Roman"/>
          <w:color w:val="000000"/>
          <w:sz w:val="24"/>
          <w:szCs w:val="24"/>
          <w:lang w:eastAsia="es-ES"/>
        </w:rPr>
        <w:t>) que plantea la norma (NC 261:2005). Esto se debe a que los diseños de mezclas y cada componente que la integran poseen propiedades esenciales como: la resistencia que brinda la granalla y el aglutinante que aporta el diésel, lo que permite la compactación entre el corte seco y los áridos molidos.</w:t>
      </w:r>
    </w:p>
    <w:p w:rsidR="002151E0" w:rsidRPr="00651677" w:rsidRDefault="002151E0" w:rsidP="00651677">
      <w:pPr>
        <w:spacing w:after="0" w:line="360" w:lineRule="auto"/>
        <w:jc w:val="both"/>
        <w:rPr>
          <w:rFonts w:ascii="Times New Roman" w:eastAsia="Times New Roman" w:hAnsi="Times New Roman" w:cs="Times New Roman"/>
          <w:color w:val="000000"/>
          <w:sz w:val="24"/>
          <w:szCs w:val="24"/>
          <w:lang w:eastAsia="es-ES"/>
        </w:rPr>
      </w:pPr>
      <w:r w:rsidRPr="00651677">
        <w:rPr>
          <w:rFonts w:ascii="Times New Roman" w:eastAsia="Times New Roman" w:hAnsi="Times New Roman" w:cs="Times New Roman"/>
          <w:color w:val="000000"/>
          <w:sz w:val="24"/>
          <w:szCs w:val="24"/>
          <w:lang w:eastAsia="es-ES"/>
        </w:rPr>
        <w:t>Sin embargo, la probeta S</w:t>
      </w:r>
      <w:r w:rsidRPr="00651677">
        <w:rPr>
          <w:rFonts w:ascii="Times New Roman" w:eastAsia="Times New Roman" w:hAnsi="Times New Roman" w:cs="Times New Roman"/>
          <w:color w:val="000000"/>
          <w:sz w:val="24"/>
          <w:szCs w:val="24"/>
          <w:vertAlign w:val="subscript"/>
          <w:lang w:eastAsia="es-ES"/>
        </w:rPr>
        <w:t>5</w:t>
      </w:r>
      <w:r w:rsidRPr="00651677">
        <w:rPr>
          <w:rFonts w:ascii="Times New Roman" w:eastAsia="Times New Roman" w:hAnsi="Times New Roman" w:cs="Times New Roman"/>
          <w:color w:val="000000"/>
          <w:sz w:val="24"/>
          <w:szCs w:val="24"/>
          <w:lang w:eastAsia="es-ES"/>
        </w:rPr>
        <w:t xml:space="preserve"> mostró valores inferiores a lo establecido por la normativa de referencia (NC 261</w:t>
      </w:r>
      <w:r w:rsidR="00DD539A" w:rsidRPr="00651677">
        <w:rPr>
          <w:rFonts w:ascii="Times New Roman" w:eastAsia="Times New Roman" w:hAnsi="Times New Roman" w:cs="Times New Roman"/>
          <w:color w:val="000000"/>
          <w:sz w:val="24"/>
          <w:szCs w:val="24"/>
          <w:lang w:eastAsia="es-ES"/>
        </w:rPr>
        <w:t>:2005)</w:t>
      </w:r>
      <w:r w:rsidRPr="00651677">
        <w:rPr>
          <w:rFonts w:ascii="Times New Roman" w:eastAsia="Times New Roman" w:hAnsi="Times New Roman" w:cs="Times New Roman"/>
          <w:color w:val="000000"/>
          <w:sz w:val="24"/>
          <w:szCs w:val="24"/>
          <w:lang w:eastAsia="es-ES"/>
        </w:rPr>
        <w:t xml:space="preserve">. Esto puede estar asociado a la ausencia de granalla en el diseño </w:t>
      </w:r>
      <w:r w:rsidRPr="00651677">
        <w:rPr>
          <w:rFonts w:ascii="Times New Roman" w:eastAsia="Times New Roman" w:hAnsi="Times New Roman" w:cs="Times New Roman"/>
          <w:color w:val="000000"/>
          <w:sz w:val="24"/>
          <w:szCs w:val="24"/>
          <w:lang w:eastAsia="es-ES"/>
        </w:rPr>
        <w:lastRenderedPageBreak/>
        <w:t>de mezcla ya que la misma incrementa el peso por unidad de volumen con el aporte óxidos metálicos de su composición.</w:t>
      </w:r>
    </w:p>
    <w:p w:rsidR="002151E0" w:rsidRPr="00651677" w:rsidRDefault="002151E0" w:rsidP="00651677">
      <w:pPr>
        <w:spacing w:after="0" w:line="360" w:lineRule="auto"/>
        <w:contextualSpacing/>
        <w:jc w:val="both"/>
        <w:rPr>
          <w:rFonts w:ascii="Times New Roman" w:eastAsia="Times New Roman" w:hAnsi="Times New Roman" w:cs="Times New Roman"/>
          <w:color w:val="000000"/>
          <w:sz w:val="24"/>
          <w:szCs w:val="24"/>
          <w:lang w:eastAsia="es-ES"/>
        </w:rPr>
      </w:pPr>
      <w:r w:rsidRPr="00651677">
        <w:rPr>
          <w:rFonts w:ascii="Times New Roman" w:eastAsia="Times New Roman" w:hAnsi="Times New Roman" w:cs="Times New Roman"/>
          <w:color w:val="000000"/>
          <w:sz w:val="24"/>
          <w:szCs w:val="24"/>
          <w:lang w:eastAsia="es-ES"/>
        </w:rPr>
        <w:t>A partir del incumplimiento del requerimiento respecto a la densidad, se inhabilita la probeta S</w:t>
      </w:r>
      <w:r w:rsidRPr="00651677">
        <w:rPr>
          <w:rFonts w:ascii="Times New Roman" w:eastAsia="Times New Roman" w:hAnsi="Times New Roman" w:cs="Times New Roman"/>
          <w:color w:val="000000"/>
          <w:sz w:val="24"/>
          <w:szCs w:val="24"/>
          <w:vertAlign w:val="subscript"/>
          <w:lang w:eastAsia="es-ES"/>
        </w:rPr>
        <w:t>5</w:t>
      </w:r>
      <w:r w:rsidRPr="00651677">
        <w:rPr>
          <w:rFonts w:ascii="Times New Roman" w:eastAsia="Times New Roman" w:hAnsi="Times New Roman" w:cs="Times New Roman"/>
          <w:color w:val="000000"/>
          <w:sz w:val="24"/>
          <w:szCs w:val="24"/>
          <w:lang w:eastAsia="es-ES"/>
        </w:rPr>
        <w:t xml:space="preserve"> para el ensayo de estabilidad. </w:t>
      </w:r>
    </w:p>
    <w:p w:rsidR="002151E0" w:rsidRPr="00651677" w:rsidRDefault="00074E64" w:rsidP="00651677">
      <w:pPr>
        <w:pStyle w:val="Ttulo2"/>
        <w:spacing w:before="80" w:after="80" w:line="360" w:lineRule="auto"/>
        <w:rPr>
          <w:rFonts w:ascii="Times New Roman" w:eastAsia="Calibri" w:hAnsi="Times New Roman" w:cs="Times New Roman"/>
          <w:b/>
          <w:color w:val="auto"/>
          <w:sz w:val="24"/>
          <w:szCs w:val="24"/>
          <w:lang w:eastAsia="es-ES"/>
        </w:rPr>
      </w:pPr>
      <w:bookmarkStart w:id="8" w:name="_Toc137102354"/>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.3.1 Estabilidad y deformación preliminar en equipo Marshall</w:t>
      </w:r>
      <w:bookmarkEnd w:id="8"/>
    </w:p>
    <w:p w:rsidR="009D7D84"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La prueba preliminar de estabilidad Marshall fue realizada a las probetas sin adición de mezcla asfáltica, pues el objetivo principal es analizar el comportamiento del diésel como aglutinante o adherente pétreo. Al respecto se realizaron algunas observacion</w:t>
      </w:r>
      <w:r w:rsidR="00A66993" w:rsidRPr="00651677">
        <w:rPr>
          <w:rFonts w:ascii="Times New Roman" w:hAnsi="Times New Roman" w:cs="Times New Roman"/>
          <w:sz w:val="24"/>
          <w:szCs w:val="24"/>
        </w:rPr>
        <w:t>es</w:t>
      </w:r>
      <w:r w:rsidR="003F6B42" w:rsidRPr="00651677">
        <w:rPr>
          <w:rFonts w:ascii="Times New Roman" w:hAnsi="Times New Roman" w:cs="Times New Roman"/>
          <w:sz w:val="24"/>
          <w:szCs w:val="24"/>
        </w:rPr>
        <w:t xml:space="preserve"> sobre los resultados anexo 3</w:t>
      </w:r>
      <w:r w:rsidRPr="00651677">
        <w:rPr>
          <w:rFonts w:ascii="Times New Roman" w:hAnsi="Times New Roman" w:cs="Times New Roman"/>
          <w:sz w:val="24"/>
          <w:szCs w:val="24"/>
        </w:rPr>
        <w:t xml:space="preserve">, donde se evidenció que el factor de corrección varió entre 1 y 1,39. Tal situación indica que la carga medida en las pruebas se ajustó correctamente para el tamaño de la muestra utilizado, según especifica en la norma cubana </w:t>
      </w:r>
      <w:r w:rsidRPr="00651677">
        <w:rPr>
          <w:rFonts w:ascii="Times New Roman" w:eastAsia="Times New Roman" w:hAnsi="Times New Roman" w:cs="Times New Roman"/>
          <w:color w:val="000000"/>
          <w:sz w:val="24"/>
          <w:szCs w:val="24"/>
          <w:lang w:eastAsia="es-ES"/>
        </w:rPr>
        <w:t>(NC 261</w:t>
      </w:r>
      <w:r w:rsidR="00DD539A" w:rsidRPr="00651677">
        <w:rPr>
          <w:rFonts w:ascii="Times New Roman" w:eastAsia="Times New Roman" w:hAnsi="Times New Roman" w:cs="Times New Roman"/>
          <w:color w:val="000000"/>
          <w:sz w:val="24"/>
          <w:szCs w:val="24"/>
          <w:lang w:eastAsia="es-ES"/>
        </w:rPr>
        <w:t>:2005)</w:t>
      </w:r>
      <w:r w:rsidRPr="00651677">
        <w:rPr>
          <w:rFonts w:ascii="Times New Roman" w:eastAsia="Times New Roman" w:hAnsi="Times New Roman" w:cs="Times New Roman"/>
          <w:sz w:val="24"/>
          <w:szCs w:val="24"/>
          <w:lang w:eastAsia="es-ES"/>
        </w:rPr>
        <w:t xml:space="preserve">. </w:t>
      </w:r>
      <w:r w:rsidRPr="00651677">
        <w:rPr>
          <w:rFonts w:ascii="Times New Roman" w:hAnsi="Times New Roman" w:cs="Times New Roman"/>
          <w:sz w:val="24"/>
          <w:szCs w:val="24"/>
        </w:rPr>
        <w:t xml:space="preserve">La altura de las probetas permanece entre 5,3 cm y 6,4 cm, lo que también se encuentra en el rango típico de altura para esta prueba </w:t>
      </w:r>
      <w:r w:rsidRPr="00651677">
        <w:rPr>
          <w:rFonts w:ascii="Times New Roman" w:eastAsia="Times New Roman" w:hAnsi="Times New Roman" w:cs="Times New Roman"/>
          <w:color w:val="000000"/>
          <w:sz w:val="24"/>
          <w:szCs w:val="24"/>
          <w:lang w:eastAsia="es-ES"/>
        </w:rPr>
        <w:t>(NC 261:2005)</w:t>
      </w:r>
      <w:r w:rsidRPr="00651677">
        <w:rPr>
          <w:rFonts w:ascii="Times New Roman" w:hAnsi="Times New Roman" w:cs="Times New Roman"/>
          <w:sz w:val="24"/>
          <w:szCs w:val="24"/>
        </w:rPr>
        <w:t>.</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En el caso de la carga, se registraron cargas máximas que oscilan</w:t>
      </w:r>
      <w:r w:rsidR="00A66993" w:rsidRPr="00651677">
        <w:rPr>
          <w:rFonts w:ascii="Times New Roman" w:hAnsi="Times New Roman" w:cs="Times New Roman"/>
          <w:sz w:val="24"/>
          <w:szCs w:val="24"/>
        </w:rPr>
        <w:t xml:space="preserve"> entre 44 kN y 72 kN</w:t>
      </w:r>
      <w:r w:rsidRPr="00651677">
        <w:rPr>
          <w:rFonts w:ascii="Times New Roman" w:hAnsi="Times New Roman" w:cs="Times New Roman"/>
          <w:sz w:val="24"/>
          <w:szCs w:val="24"/>
        </w:rPr>
        <w:t xml:space="preserve">, lo que influyó en la estabilidad Marshall de todas las probetas obteniéndose valores entre 9,48 kN y 12,41 kN, lo que demuestra que son estables y capaces de soportar cargas sin sufrir una deformación plástica pues están dentro del </w:t>
      </w:r>
      <w:r w:rsidRPr="00651677">
        <w:rPr>
          <w:rFonts w:ascii="Times New Roman" w:eastAsia="Times New Roman" w:hAnsi="Times New Roman" w:cs="Times New Roman"/>
          <w:sz w:val="24"/>
          <w:szCs w:val="24"/>
          <w:lang w:eastAsia="es-ES"/>
        </w:rPr>
        <w:t>rango aceptable de 9 a 13 kN</w:t>
      </w:r>
      <w:r w:rsidRPr="00651677">
        <w:rPr>
          <w:rFonts w:ascii="Times New Roman" w:hAnsi="Times New Roman" w:cs="Times New Roman"/>
          <w:sz w:val="24"/>
          <w:szCs w:val="24"/>
        </w:rPr>
        <w:t xml:space="preserve"> según establece la normativa de referencia </w:t>
      </w:r>
      <w:r w:rsidRPr="00651677">
        <w:rPr>
          <w:rFonts w:ascii="Times New Roman" w:eastAsia="Times New Roman" w:hAnsi="Times New Roman" w:cs="Times New Roman"/>
          <w:color w:val="000000"/>
          <w:sz w:val="24"/>
          <w:szCs w:val="24"/>
          <w:lang w:eastAsia="es-ES"/>
        </w:rPr>
        <w:t>(NC 261</w:t>
      </w:r>
      <w:r w:rsidR="00DD539A" w:rsidRPr="00651677">
        <w:rPr>
          <w:rFonts w:ascii="Times New Roman" w:eastAsia="Times New Roman" w:hAnsi="Times New Roman" w:cs="Times New Roman"/>
          <w:color w:val="000000"/>
          <w:sz w:val="24"/>
          <w:szCs w:val="24"/>
          <w:lang w:eastAsia="es-ES"/>
        </w:rPr>
        <w:t>:2005)</w:t>
      </w:r>
      <w:r w:rsidRPr="00651677">
        <w:rPr>
          <w:rFonts w:ascii="Times New Roman" w:hAnsi="Times New Roman" w:cs="Times New Roman"/>
          <w:sz w:val="24"/>
          <w:szCs w:val="24"/>
        </w:rPr>
        <w:t>.</w:t>
      </w:r>
    </w:p>
    <w:p w:rsidR="00557285"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A cargas más bajas pueden mostrar una falta de resistencia a la deformación permanente, mientras que cargas más altas pueden indicar una mezcla demasiado rígida que puede agrietarse o romperse bajo cargas repetidas.</w:t>
      </w:r>
      <w:r w:rsidRPr="00651677">
        <w:rPr>
          <w:rFonts w:ascii="Times New Roman" w:eastAsiaTheme="minorHAnsi" w:hAnsi="Times New Roman" w:cs="Times New Roman"/>
          <w:sz w:val="24"/>
          <w:szCs w:val="24"/>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La estabilidad Marshall más alta (12,41 kN) y la densidad de la mezcla compactada más baja (2,42 g/cm³), pero superior al val</w:t>
      </w:r>
      <w:r w:rsidR="00D539C8" w:rsidRPr="00651677">
        <w:rPr>
          <w:rFonts w:ascii="Times New Roman" w:hAnsi="Times New Roman" w:cs="Times New Roman"/>
          <w:sz w:val="24"/>
          <w:szCs w:val="24"/>
        </w:rPr>
        <w:t xml:space="preserve">or de aceptación </w:t>
      </w:r>
      <w:r w:rsidRPr="00651677">
        <w:rPr>
          <w:rFonts w:ascii="Times New Roman" w:hAnsi="Times New Roman" w:cs="Times New Roman"/>
          <w:sz w:val="24"/>
          <w:szCs w:val="24"/>
        </w:rPr>
        <w:t>(˃ 2,33 g/cm</w:t>
      </w:r>
      <w:r w:rsidRPr="00651677">
        <w:rPr>
          <w:rFonts w:ascii="Times New Roman" w:hAnsi="Times New Roman" w:cs="Times New Roman"/>
          <w:sz w:val="24"/>
          <w:szCs w:val="24"/>
          <w:vertAlign w:val="superscript"/>
        </w:rPr>
        <w:t>3</w:t>
      </w:r>
      <w:r w:rsidRPr="00651677">
        <w:rPr>
          <w:rFonts w:ascii="Times New Roman" w:hAnsi="Times New Roman" w:cs="Times New Roman"/>
          <w:sz w:val="24"/>
          <w:szCs w:val="24"/>
        </w:rPr>
        <w:t>)</w:t>
      </w:r>
      <w:r w:rsidRPr="00651677">
        <w:rPr>
          <w:rFonts w:ascii="Times New Roman" w:eastAsia="Times New Roman" w:hAnsi="Times New Roman" w:cs="Times New Roman"/>
          <w:color w:val="000000"/>
          <w:sz w:val="24"/>
          <w:szCs w:val="24"/>
          <w:lang w:eastAsia="es-ES"/>
        </w:rPr>
        <w:t xml:space="preserve"> (NC 261:2005)</w:t>
      </w:r>
      <w:r w:rsidRPr="00651677">
        <w:rPr>
          <w:rFonts w:ascii="Times New Roman" w:hAnsi="Times New Roman" w:cs="Times New Roman"/>
          <w:sz w:val="24"/>
          <w:szCs w:val="24"/>
        </w:rPr>
        <w:t>, se registró con la probeta S</w:t>
      </w:r>
      <w:r w:rsidRPr="00651677">
        <w:rPr>
          <w:rFonts w:ascii="Times New Roman" w:hAnsi="Times New Roman" w:cs="Times New Roman"/>
          <w:sz w:val="24"/>
          <w:szCs w:val="24"/>
          <w:vertAlign w:val="subscript"/>
        </w:rPr>
        <w:t>4</w:t>
      </w:r>
      <w:r w:rsidRPr="00651677">
        <w:rPr>
          <w:rFonts w:ascii="Times New Roman" w:hAnsi="Times New Roman" w:cs="Times New Roman"/>
          <w:sz w:val="24"/>
          <w:szCs w:val="24"/>
        </w:rPr>
        <w:t>,</w:t>
      </w:r>
      <w:r w:rsidRPr="00651677">
        <w:rPr>
          <w:rFonts w:ascii="Times New Roman" w:hAnsi="Times New Roman" w:cs="Times New Roman"/>
          <w:sz w:val="24"/>
          <w:szCs w:val="24"/>
          <w:vertAlign w:val="subscript"/>
        </w:rPr>
        <w:t xml:space="preserve"> </w:t>
      </w:r>
      <w:r w:rsidRPr="00651677">
        <w:rPr>
          <w:rFonts w:ascii="Times New Roman" w:hAnsi="Times New Roman" w:cs="Times New Roman"/>
          <w:sz w:val="24"/>
          <w:szCs w:val="24"/>
        </w:rPr>
        <w:t>lo que se identifica como</w:t>
      </w:r>
      <w:r w:rsidR="006A3312" w:rsidRPr="00651677">
        <w:rPr>
          <w:rFonts w:ascii="Times New Roman" w:hAnsi="Times New Roman" w:cs="Times New Roman"/>
          <w:sz w:val="24"/>
          <w:szCs w:val="24"/>
        </w:rPr>
        <w:t xml:space="preserve"> la más viable</w:t>
      </w:r>
      <w:r w:rsidRPr="00651677">
        <w:rPr>
          <w:rFonts w:ascii="Times New Roman" w:hAnsi="Times New Roman" w:cs="Times New Roman"/>
          <w:sz w:val="24"/>
          <w:szCs w:val="24"/>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 xml:space="preserve">En la conformación del pavimento asfáltico una buena estabilidad es importante porque indica que la mezcla tiene la capacidad de soportar las cargas de tráfico sin deformarse o romperse. Si la mezcla asfáltica no tiene una buena estabilidad, puede sufrir deformaciones permanentes o agrietarse prematuramente, lo que puede llevar a una vida útil reducida de la carretera y a costos adicionales de mantenimiento y reparación. Por otro lado, una baja densidad, pero con valor superior al de aceptación, puede ser beneficiosa porque reduce el peso de la mezcla asfáltica y, por lo tanto, reduce el costo de transporte y la cantidad de asfalto necesario para construir la carretera. Sin embargo, es importante encontrar un equilibrio entre la densidad y la estabilidad de la mezcla </w:t>
      </w:r>
      <w:r w:rsidRPr="00651677">
        <w:rPr>
          <w:rFonts w:ascii="Times New Roman" w:hAnsi="Times New Roman" w:cs="Times New Roman"/>
          <w:sz w:val="24"/>
          <w:szCs w:val="24"/>
        </w:rPr>
        <w:lastRenderedPageBreak/>
        <w:t>asfáltica a conformar, ya que una densidad demasiado baja puede comprometer la capacidad de la mezcla para soportar las cargas de tráfic</w:t>
      </w:r>
      <w:r w:rsidR="003011E8">
        <w:rPr>
          <w:rFonts w:ascii="Times New Roman" w:hAnsi="Times New Roman" w:cs="Times New Roman"/>
          <w:sz w:val="24"/>
          <w:szCs w:val="24"/>
        </w:rPr>
        <w:t>o según los estudios realizados.</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Estos resultados de la prueba de estabilidad son preliminares, pero sugieren de manera general que los cortes de perforación tienen potencialidad para ser utilizados como componente parcial en la disminución del volumen de mezcla asfáltica en la fabricación de pavimento asfáltico ya que cumple con los requisitos d</w:t>
      </w:r>
      <w:r w:rsidR="00DD539A" w:rsidRPr="00651677">
        <w:rPr>
          <w:rFonts w:ascii="Times New Roman" w:hAnsi="Times New Roman" w:cs="Times New Roman"/>
          <w:sz w:val="24"/>
          <w:szCs w:val="24"/>
        </w:rPr>
        <w:t>e la norma cubana</w:t>
      </w:r>
      <w:r w:rsidR="00183EAD" w:rsidRPr="00651677">
        <w:rPr>
          <w:rFonts w:ascii="Times New Roman" w:hAnsi="Times New Roman" w:cs="Times New Roman"/>
          <w:sz w:val="24"/>
          <w:szCs w:val="24"/>
        </w:rPr>
        <w:t xml:space="preserve"> </w:t>
      </w:r>
      <w:r w:rsidR="00DD539A" w:rsidRPr="00651677">
        <w:rPr>
          <w:rFonts w:ascii="Times New Roman" w:hAnsi="Times New Roman" w:cs="Times New Roman"/>
          <w:sz w:val="24"/>
          <w:szCs w:val="24"/>
        </w:rPr>
        <w:t>(NC 261:2005)</w:t>
      </w:r>
      <w:r w:rsidRPr="00651677">
        <w:rPr>
          <w:rFonts w:ascii="Times New Roman" w:hAnsi="Times New Roman" w:cs="Times New Roman"/>
          <w:sz w:val="24"/>
          <w:szCs w:val="24"/>
        </w:rPr>
        <w:t xml:space="preserve">. </w:t>
      </w:r>
    </w:p>
    <w:p w:rsidR="002151E0" w:rsidRPr="00651677" w:rsidRDefault="00074E64" w:rsidP="00651677">
      <w:pPr>
        <w:pStyle w:val="Ttulo2"/>
        <w:spacing w:before="80" w:after="80" w:line="360" w:lineRule="auto"/>
        <w:rPr>
          <w:rFonts w:ascii="Times New Roman" w:eastAsia="Calibri" w:hAnsi="Times New Roman" w:cs="Times New Roman"/>
          <w:b/>
          <w:color w:val="auto"/>
          <w:sz w:val="24"/>
          <w:szCs w:val="24"/>
          <w:lang w:eastAsia="es-ES"/>
        </w:rPr>
      </w:pPr>
      <w:bookmarkStart w:id="9" w:name="_Toc137102355"/>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.4. Comportamiento del CBR del corte seco</w:t>
      </w:r>
      <w:bookmarkEnd w:id="9"/>
    </w:p>
    <w:p w:rsidR="002F2BF5" w:rsidRPr="00651677" w:rsidRDefault="006A3312"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 xml:space="preserve">El </w:t>
      </w:r>
      <w:r w:rsidR="002151E0" w:rsidRPr="00651677">
        <w:rPr>
          <w:rFonts w:ascii="Times New Roman" w:hAnsi="Times New Roman" w:cs="Times New Roman"/>
          <w:sz w:val="24"/>
          <w:szCs w:val="24"/>
        </w:rPr>
        <w:t xml:space="preserve">ensayo CBR </w:t>
      </w:r>
      <w:r w:rsidRPr="00651677">
        <w:rPr>
          <w:rFonts w:ascii="Times New Roman" w:hAnsi="Times New Roman" w:cs="Times New Roman"/>
          <w:sz w:val="24"/>
          <w:szCs w:val="24"/>
        </w:rPr>
        <w:t xml:space="preserve">para el corte seco, </w:t>
      </w:r>
      <w:r w:rsidR="002151E0" w:rsidRPr="00651677">
        <w:rPr>
          <w:rFonts w:ascii="Times New Roman" w:hAnsi="Times New Roman" w:cs="Times New Roman"/>
          <w:sz w:val="24"/>
          <w:szCs w:val="24"/>
        </w:rPr>
        <w:t>obtuvo un porcentaje elevado de compactación del suelo (87</w:t>
      </w:r>
      <w:r w:rsidRPr="00651677">
        <w:rPr>
          <w:rFonts w:ascii="Times New Roman" w:hAnsi="Times New Roman" w:cs="Times New Roman"/>
          <w:sz w:val="24"/>
          <w:szCs w:val="24"/>
        </w:rPr>
        <w:t xml:space="preserve"> </w:t>
      </w:r>
      <w:r w:rsidR="002151E0" w:rsidRPr="00651677">
        <w:rPr>
          <w:rFonts w:ascii="Times New Roman" w:hAnsi="Times New Roman" w:cs="Times New Roman"/>
          <w:sz w:val="24"/>
          <w:szCs w:val="24"/>
        </w:rPr>
        <w:t>-</w:t>
      </w:r>
      <w:r w:rsidRPr="00651677">
        <w:rPr>
          <w:rFonts w:ascii="Times New Roman" w:hAnsi="Times New Roman" w:cs="Times New Roman"/>
          <w:sz w:val="24"/>
          <w:szCs w:val="24"/>
        </w:rPr>
        <w:t xml:space="preserve"> </w:t>
      </w:r>
      <w:r w:rsidR="002151E0" w:rsidRPr="00651677">
        <w:rPr>
          <w:rFonts w:ascii="Times New Roman" w:hAnsi="Times New Roman" w:cs="Times New Roman"/>
          <w:sz w:val="24"/>
          <w:szCs w:val="24"/>
        </w:rPr>
        <w:t xml:space="preserve">99 %), lo que sugiere que el suelo ha sido compactado adecuadamente. También se alcanzó una humedad de 10,6 % la cual se debe tener en cuenta para las pruebas de campos posteriores pues con un contenido de humedad superior a este comienza a decrecer el peso específico lo que afecta la compactación, integridad y calidad del material para su uso como pavimento.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También el peso específico seco del corte seco indicó que el suelo es denso y puede proporcionar cierta resistencia a la deformación según especifica</w:t>
      </w:r>
      <w:r w:rsidR="00DD539A" w:rsidRPr="00651677">
        <w:rPr>
          <w:rFonts w:ascii="Times New Roman" w:eastAsia="Times New Roman" w:hAnsi="Times New Roman" w:cs="Times New Roman"/>
          <w:sz w:val="24"/>
          <w:szCs w:val="24"/>
        </w:rPr>
        <w:t xml:space="preserve"> la (ASTM D 1883-07)</w:t>
      </w:r>
      <w:r w:rsidRPr="00651677">
        <w:rPr>
          <w:rFonts w:ascii="Times New Roman" w:hAnsi="Times New Roman" w:cs="Times New Roman"/>
          <w:sz w:val="24"/>
          <w:szCs w:val="24"/>
        </w:rPr>
        <w:t>. Los valores de CBR para los dos diámetros de pistón (2,54 mm y 5,08 mm) son</w:t>
      </w:r>
      <w:r w:rsidR="003725AD" w:rsidRPr="00651677">
        <w:rPr>
          <w:rFonts w:ascii="Times New Roman" w:hAnsi="Times New Roman" w:cs="Times New Roman"/>
          <w:sz w:val="24"/>
          <w:szCs w:val="24"/>
        </w:rPr>
        <w:t xml:space="preserve"> relativamente bajos</w:t>
      </w:r>
      <w:r w:rsidRPr="00651677">
        <w:rPr>
          <w:rFonts w:ascii="Times New Roman" w:hAnsi="Times New Roman" w:cs="Times New Roman"/>
          <w:sz w:val="24"/>
          <w:szCs w:val="24"/>
        </w:rPr>
        <w:t>. Esto se analiza para determinar el posible uso como capas de la carpeta as</w:t>
      </w:r>
      <w:r w:rsidR="00507EFA" w:rsidRPr="00651677">
        <w:rPr>
          <w:rFonts w:ascii="Times New Roman" w:hAnsi="Times New Roman" w:cs="Times New Roman"/>
          <w:sz w:val="24"/>
          <w:szCs w:val="24"/>
        </w:rPr>
        <w:t>fáltica según la</w:t>
      </w:r>
      <w:r w:rsidR="002666B4" w:rsidRPr="00651677">
        <w:rPr>
          <w:rFonts w:ascii="Times New Roman" w:hAnsi="Times New Roman" w:cs="Times New Roman"/>
          <w:sz w:val="24"/>
          <w:szCs w:val="24"/>
        </w:rPr>
        <w:t xml:space="preserve"> (NC 334:2004)</w:t>
      </w:r>
      <w:r w:rsidRPr="00651677">
        <w:rPr>
          <w:rFonts w:ascii="Times New Roman" w:hAnsi="Times New Roman" w:cs="Times New Roman"/>
          <w:sz w:val="24"/>
          <w:szCs w:val="24"/>
        </w:rPr>
        <w:t xml:space="preserve">, indicando que el suelo tiene una capacidad de carga limitada y no puede ser utilizado como base en carreteras.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Sin embargo, se obtuvo un índice de CBR de 46 % a los 55 golpes, superior al rango mínimo de (20 a 30) % que se establece en</w:t>
      </w:r>
      <w:r w:rsidR="00D539C8" w:rsidRPr="00651677">
        <w:rPr>
          <w:rFonts w:ascii="Times New Roman" w:hAnsi="Times New Roman" w:cs="Times New Roman"/>
          <w:sz w:val="24"/>
          <w:szCs w:val="24"/>
        </w:rPr>
        <w:t xml:space="preserve"> la norma de referencia</w:t>
      </w:r>
      <w:r w:rsidR="002666B4" w:rsidRPr="00651677">
        <w:rPr>
          <w:rFonts w:ascii="Times New Roman" w:hAnsi="Times New Roman" w:cs="Times New Roman"/>
          <w:sz w:val="24"/>
          <w:szCs w:val="24"/>
        </w:rPr>
        <w:t xml:space="preserve"> (NC: 334:2004)</w:t>
      </w:r>
      <w:r w:rsidRPr="00651677">
        <w:rPr>
          <w:rFonts w:ascii="Times New Roman" w:hAnsi="Times New Roman" w:cs="Times New Roman"/>
          <w:sz w:val="24"/>
          <w:szCs w:val="24"/>
        </w:rPr>
        <w:t>. De este modo el corte seco puede ser usado como materia prima principal para la conformación de sub-base en pavimentos asfálticos.</w:t>
      </w:r>
      <w:r w:rsidR="00A86ED1" w:rsidRPr="00651677">
        <w:rPr>
          <w:rFonts w:ascii="Times New Roman" w:eastAsia="Times New Roman" w:hAnsi="Times New Roman" w:cs="Times New Roman"/>
          <w:b/>
          <w:sz w:val="24"/>
          <w:szCs w:val="24"/>
          <w:lang w:eastAsia="es-ES"/>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Según el valor de CBR de 46 % es posible emplearlo como sub-base en carreteras, aeropuertos, caminos de baja intensidad de tráfico y de bajo costo como especifica la norma cubana (NC 161:2002</w:t>
      </w:r>
      <w:r w:rsidR="00DD539A" w:rsidRPr="00651677">
        <w:rPr>
          <w:rFonts w:ascii="Times New Roman" w:hAnsi="Times New Roman" w:cs="Times New Roman"/>
          <w:sz w:val="24"/>
          <w:szCs w:val="24"/>
        </w:rPr>
        <w:t xml:space="preserve">) para Carreteras. Bases y </w:t>
      </w:r>
      <w:r w:rsidR="002666B4" w:rsidRPr="00651677">
        <w:rPr>
          <w:rFonts w:ascii="Times New Roman" w:hAnsi="Times New Roman" w:cs="Times New Roman"/>
          <w:sz w:val="24"/>
          <w:szCs w:val="24"/>
        </w:rPr>
        <w:t>sub-bases de caliza blanda</w:t>
      </w:r>
      <w:r w:rsidRPr="00651677">
        <w:rPr>
          <w:rFonts w:ascii="Times New Roman" w:hAnsi="Times New Roman" w:cs="Times New Roman"/>
          <w:sz w:val="24"/>
          <w:szCs w:val="24"/>
        </w:rPr>
        <w:t>.</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 xml:space="preserve">Teniendo en cuenta los resultados anteriores se analizaron muestras de CBR con diferentes relaciones de mezclas que influyan en propiedades como la resistencia a la deformación. Tal es el caso de la granalla y así poder evaluar mejoras en las propiedades para la aplicación. </w:t>
      </w:r>
    </w:p>
    <w:p w:rsidR="002151E0" w:rsidRPr="00651677" w:rsidRDefault="00074E64" w:rsidP="00651677">
      <w:pPr>
        <w:pStyle w:val="Ttulo2"/>
        <w:spacing w:before="80" w:after="80" w:line="360" w:lineRule="auto"/>
        <w:rPr>
          <w:rFonts w:ascii="Times New Roman" w:eastAsia="Calibri" w:hAnsi="Times New Roman" w:cs="Times New Roman"/>
          <w:b/>
          <w:color w:val="auto"/>
          <w:sz w:val="24"/>
          <w:szCs w:val="24"/>
          <w:lang w:eastAsia="es-ES"/>
        </w:rPr>
      </w:pPr>
      <w:bookmarkStart w:id="10" w:name="_Toc137102356"/>
      <w:r w:rsidRPr="00651677">
        <w:rPr>
          <w:rFonts w:ascii="Times New Roman" w:eastAsia="Calibri" w:hAnsi="Times New Roman" w:cs="Times New Roman"/>
          <w:b/>
          <w:color w:val="auto"/>
          <w:sz w:val="24"/>
          <w:szCs w:val="24"/>
          <w:lang w:eastAsia="es-ES"/>
        </w:rPr>
        <w:lastRenderedPageBreak/>
        <w:t>1</w:t>
      </w:r>
      <w:r w:rsidR="002151E0" w:rsidRPr="00651677">
        <w:rPr>
          <w:rFonts w:ascii="Times New Roman" w:eastAsia="Calibri" w:hAnsi="Times New Roman" w:cs="Times New Roman"/>
          <w:b/>
          <w:color w:val="auto"/>
          <w:sz w:val="24"/>
          <w:szCs w:val="24"/>
          <w:lang w:eastAsia="es-ES"/>
        </w:rPr>
        <w:t>.4.1 Comportamiento del CBR en las diferentes relaciones de mezclas</w:t>
      </w:r>
      <w:bookmarkEnd w:id="10"/>
    </w:p>
    <w:p w:rsidR="002151E0" w:rsidRPr="00651677" w:rsidRDefault="002151E0" w:rsidP="00651677">
      <w:pPr>
        <w:spacing w:line="360" w:lineRule="auto"/>
        <w:jc w:val="both"/>
        <w:rPr>
          <w:rFonts w:ascii="Times New Roman" w:hAnsi="Times New Roman" w:cs="Times New Roman"/>
          <w:sz w:val="24"/>
          <w:szCs w:val="24"/>
        </w:rPr>
      </w:pPr>
      <w:r w:rsidRPr="00651677">
        <w:rPr>
          <w:rFonts w:ascii="Times New Roman" w:hAnsi="Times New Roman" w:cs="Times New Roman"/>
          <w:sz w:val="24"/>
          <w:szCs w:val="24"/>
        </w:rPr>
        <w:t>Los resultados de las pruebas de CBR demuestran que las probetas SH</w:t>
      </w:r>
      <w:r w:rsidRPr="00651677">
        <w:rPr>
          <w:rFonts w:ascii="Times New Roman" w:hAnsi="Times New Roman" w:cs="Times New Roman"/>
          <w:sz w:val="24"/>
          <w:szCs w:val="24"/>
          <w:vertAlign w:val="subscript"/>
        </w:rPr>
        <w:t>1</w:t>
      </w:r>
      <w:r w:rsidRPr="00651677">
        <w:rPr>
          <w:rFonts w:ascii="Times New Roman" w:hAnsi="Times New Roman" w:cs="Times New Roman"/>
          <w:sz w:val="24"/>
          <w:szCs w:val="24"/>
        </w:rPr>
        <w:t xml:space="preserve"> y SH</w:t>
      </w:r>
      <w:r w:rsidRPr="00651677">
        <w:rPr>
          <w:rFonts w:ascii="Times New Roman" w:hAnsi="Times New Roman" w:cs="Times New Roman"/>
          <w:sz w:val="24"/>
          <w:szCs w:val="24"/>
          <w:vertAlign w:val="subscript"/>
        </w:rPr>
        <w:t>3</w:t>
      </w:r>
      <w:r w:rsidRPr="00651677">
        <w:rPr>
          <w:rFonts w:ascii="Times New Roman" w:hAnsi="Times New Roman" w:cs="Times New Roman"/>
          <w:sz w:val="24"/>
          <w:szCs w:val="24"/>
        </w:rPr>
        <w:t xml:space="preserve"> tienen los valores de CBR más altos con porcentajes de 33 % y 32 % para el ensayo de</w:t>
      </w:r>
      <w:r w:rsidR="00D539C8" w:rsidRPr="00651677">
        <w:rPr>
          <w:rFonts w:ascii="Times New Roman" w:hAnsi="Times New Roman" w:cs="Times New Roman"/>
          <w:sz w:val="24"/>
          <w:szCs w:val="24"/>
        </w:rPr>
        <w:t xml:space="preserve"> </w:t>
      </w:r>
      <w:r w:rsidRPr="00651677">
        <w:rPr>
          <w:rFonts w:ascii="Times New Roman" w:hAnsi="Times New Roman" w:cs="Times New Roman"/>
          <w:sz w:val="24"/>
          <w:szCs w:val="24"/>
        </w:rPr>
        <w:t xml:space="preserve">2,54 </w:t>
      </w:r>
      <w:proofErr w:type="spellStart"/>
      <w:r w:rsidRPr="00651677">
        <w:rPr>
          <w:rFonts w:ascii="Times New Roman" w:hAnsi="Times New Roman" w:cs="Times New Roman"/>
          <w:sz w:val="24"/>
          <w:szCs w:val="24"/>
        </w:rPr>
        <w:t>mm.</w:t>
      </w:r>
      <w:proofErr w:type="spellEnd"/>
    </w:p>
    <w:p w:rsidR="002151E0" w:rsidRPr="00651677" w:rsidRDefault="009D7D84" w:rsidP="00651677">
      <w:pPr>
        <w:spacing w:line="360" w:lineRule="auto"/>
        <w:jc w:val="center"/>
        <w:rPr>
          <w:rFonts w:ascii="Times New Roman" w:hAnsi="Times New Roman" w:cs="Times New Roman"/>
          <w:sz w:val="24"/>
          <w:szCs w:val="24"/>
          <w:lang w:eastAsia="es-ES"/>
        </w:rPr>
      </w:pPr>
      <w:r w:rsidRPr="00651677">
        <w:rPr>
          <w:rFonts w:ascii="Times New Roman" w:hAnsi="Times New Roman" w:cs="Times New Roman"/>
          <w:b/>
          <w:sz w:val="24"/>
          <w:szCs w:val="24"/>
          <w:lang w:eastAsia="es-ES"/>
        </w:rPr>
        <w:t>Tabla 1</w:t>
      </w:r>
      <w:r w:rsidR="002151E0" w:rsidRPr="00651677">
        <w:rPr>
          <w:rFonts w:ascii="Times New Roman" w:hAnsi="Times New Roman" w:cs="Times New Roman"/>
          <w:b/>
          <w:sz w:val="24"/>
          <w:szCs w:val="24"/>
          <w:lang w:eastAsia="es-ES"/>
        </w:rPr>
        <w:t>.</w:t>
      </w:r>
      <w:r w:rsidR="002151E0" w:rsidRPr="00651677">
        <w:rPr>
          <w:rFonts w:ascii="Times New Roman" w:hAnsi="Times New Roman" w:cs="Times New Roman"/>
          <w:sz w:val="24"/>
          <w:szCs w:val="24"/>
          <w:lang w:eastAsia="es-ES"/>
        </w:rPr>
        <w:t xml:space="preserve"> Comportamiento del CBR en los diseños de mezcla</w:t>
      </w:r>
    </w:p>
    <w:tbl>
      <w:tblPr>
        <w:tblStyle w:val="Tablaconcuadrcula"/>
        <w:tblW w:w="0" w:type="auto"/>
        <w:jc w:val="center"/>
        <w:tblLook w:val="04A0" w:firstRow="1" w:lastRow="0" w:firstColumn="1" w:lastColumn="0" w:noHBand="0" w:noVBand="1"/>
      </w:tblPr>
      <w:tblGrid>
        <w:gridCol w:w="2483"/>
        <w:gridCol w:w="756"/>
        <w:gridCol w:w="756"/>
        <w:gridCol w:w="756"/>
        <w:gridCol w:w="756"/>
      </w:tblGrid>
      <w:tr w:rsidR="002151E0" w:rsidRPr="00651677" w:rsidTr="002F2BF5">
        <w:trPr>
          <w:jc w:val="center"/>
        </w:trPr>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b/>
                <w:sz w:val="24"/>
                <w:szCs w:val="24"/>
                <w:lang w:eastAsia="es-ES"/>
              </w:rPr>
            </w:pPr>
            <w:r w:rsidRPr="00651677">
              <w:rPr>
                <w:rFonts w:ascii="Times New Roman" w:hAnsi="Times New Roman" w:cs="Times New Roman"/>
                <w:b/>
                <w:sz w:val="24"/>
                <w:szCs w:val="24"/>
                <w:lang w:eastAsia="es-ES"/>
              </w:rPr>
              <w:t>Probetas</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bCs/>
                <w:sz w:val="24"/>
                <w:szCs w:val="24"/>
                <w:lang w:eastAsia="es-ES"/>
              </w:rPr>
              <w:t>SH</w:t>
            </w:r>
            <w:r w:rsidRPr="00651677">
              <w:rPr>
                <w:rFonts w:ascii="Times New Roman" w:eastAsia="Times New Roman" w:hAnsi="Times New Roman" w:cs="Times New Roman"/>
                <w:bCs/>
                <w:sz w:val="24"/>
                <w:szCs w:val="24"/>
                <w:vertAlign w:val="subscript"/>
                <w:lang w:eastAsia="es-ES"/>
              </w:rPr>
              <w:t>1</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hAnsi="Times New Roman" w:cs="Times New Roman"/>
                <w:sz w:val="24"/>
                <w:szCs w:val="24"/>
              </w:rPr>
              <w:t>SH</w:t>
            </w:r>
            <w:r w:rsidRPr="00651677">
              <w:rPr>
                <w:rFonts w:ascii="Times New Roman" w:hAnsi="Times New Roman" w:cs="Times New Roman"/>
                <w:sz w:val="24"/>
                <w:szCs w:val="24"/>
                <w:vertAlign w:val="subscript"/>
              </w:rPr>
              <w:t>2</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SH</w:t>
            </w:r>
            <w:r w:rsidRPr="00651677">
              <w:rPr>
                <w:rFonts w:ascii="Times New Roman" w:eastAsia="Times New Roman" w:hAnsi="Times New Roman" w:cs="Times New Roman"/>
                <w:sz w:val="24"/>
                <w:szCs w:val="24"/>
                <w:vertAlign w:val="subscript"/>
                <w:lang w:eastAsia="es-ES"/>
              </w:rPr>
              <w:t>3</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SH</w:t>
            </w:r>
            <w:r w:rsidRPr="00651677">
              <w:rPr>
                <w:rFonts w:ascii="Times New Roman" w:eastAsia="Times New Roman" w:hAnsi="Times New Roman" w:cs="Times New Roman"/>
                <w:sz w:val="24"/>
                <w:szCs w:val="24"/>
                <w:vertAlign w:val="subscript"/>
                <w:lang w:eastAsia="es-ES"/>
              </w:rPr>
              <w:t>4</w:t>
            </w:r>
          </w:p>
        </w:tc>
      </w:tr>
      <w:tr w:rsidR="002151E0" w:rsidRPr="00651677" w:rsidTr="002F2BF5">
        <w:trPr>
          <w:jc w:val="center"/>
        </w:trPr>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b/>
                <w:sz w:val="24"/>
                <w:szCs w:val="24"/>
                <w:lang w:eastAsia="es-ES"/>
              </w:rPr>
            </w:pPr>
            <w:r w:rsidRPr="00651677">
              <w:rPr>
                <w:rFonts w:ascii="Times New Roman" w:eastAsia="Times New Roman" w:hAnsi="Times New Roman" w:cs="Times New Roman"/>
                <w:b/>
                <w:sz w:val="24"/>
                <w:szCs w:val="24"/>
                <w:lang w:eastAsia="es-ES"/>
              </w:rPr>
              <w:t>Molde No</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bCs/>
                <w:sz w:val="24"/>
                <w:szCs w:val="24"/>
                <w:lang w:eastAsia="es-ES"/>
              </w:rPr>
              <w:t>P</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hAnsi="Times New Roman" w:cs="Times New Roman"/>
                <w:sz w:val="24"/>
                <w:szCs w:val="24"/>
              </w:rPr>
              <w:t>L</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bCs/>
                <w:color w:val="000000"/>
                <w:sz w:val="24"/>
                <w:szCs w:val="24"/>
                <w:lang w:eastAsia="es-ES"/>
              </w:rPr>
              <w:t>L</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bCs/>
                <w:color w:val="000000"/>
                <w:sz w:val="24"/>
                <w:szCs w:val="24"/>
                <w:lang w:eastAsia="es-ES"/>
              </w:rPr>
              <w:t>P</w:t>
            </w:r>
          </w:p>
        </w:tc>
      </w:tr>
      <w:tr w:rsidR="002151E0" w:rsidRPr="00651677" w:rsidTr="002F2BF5">
        <w:trPr>
          <w:jc w:val="center"/>
        </w:trPr>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b/>
                <w:sz w:val="24"/>
                <w:szCs w:val="24"/>
                <w:lang w:eastAsia="es-ES"/>
              </w:rPr>
            </w:pPr>
            <w:r w:rsidRPr="00651677">
              <w:rPr>
                <w:rFonts w:ascii="Times New Roman" w:eastAsia="Times New Roman" w:hAnsi="Times New Roman" w:cs="Times New Roman"/>
                <w:b/>
                <w:sz w:val="24"/>
                <w:szCs w:val="24"/>
                <w:lang w:eastAsia="es-ES"/>
              </w:rPr>
              <w:t>% CBR 2,54 mm</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33</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hAnsi="Times New Roman" w:cs="Times New Roman"/>
                <w:sz w:val="24"/>
                <w:szCs w:val="24"/>
              </w:rPr>
              <w:t>8</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32</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13</w:t>
            </w:r>
          </w:p>
        </w:tc>
      </w:tr>
      <w:tr w:rsidR="002151E0" w:rsidRPr="00651677" w:rsidTr="002F2BF5">
        <w:trPr>
          <w:jc w:val="center"/>
        </w:trPr>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b/>
                <w:sz w:val="24"/>
                <w:szCs w:val="24"/>
                <w:lang w:eastAsia="es-ES"/>
              </w:rPr>
            </w:pPr>
            <w:r w:rsidRPr="00651677">
              <w:rPr>
                <w:rFonts w:ascii="Times New Roman" w:eastAsia="Times New Roman" w:hAnsi="Times New Roman" w:cs="Times New Roman"/>
                <w:b/>
                <w:sz w:val="24"/>
                <w:szCs w:val="24"/>
                <w:lang w:eastAsia="es-ES"/>
              </w:rPr>
              <w:t>% CBR 5,08 mm</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32</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hAnsi="Times New Roman" w:cs="Times New Roman"/>
                <w:sz w:val="24"/>
                <w:szCs w:val="24"/>
              </w:rPr>
              <w:t>8</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28</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13</w:t>
            </w:r>
          </w:p>
        </w:tc>
      </w:tr>
      <w:tr w:rsidR="002151E0" w:rsidRPr="00651677" w:rsidTr="002F2BF5">
        <w:trPr>
          <w:jc w:val="center"/>
        </w:trPr>
        <w:tc>
          <w:tcPr>
            <w:tcW w:w="0" w:type="auto"/>
            <w:shd w:val="clear" w:color="auto" w:fill="auto"/>
            <w:vAlign w:val="center"/>
          </w:tcPr>
          <w:p w:rsidR="002151E0" w:rsidRPr="00651677" w:rsidRDefault="002151E0" w:rsidP="00651677">
            <w:pPr>
              <w:spacing w:line="360" w:lineRule="auto"/>
              <w:jc w:val="center"/>
              <w:rPr>
                <w:rFonts w:ascii="Times New Roman" w:eastAsia="Times New Roman" w:hAnsi="Times New Roman" w:cs="Times New Roman"/>
                <w:b/>
                <w:sz w:val="24"/>
                <w:szCs w:val="24"/>
                <w:lang w:eastAsia="es-ES"/>
              </w:rPr>
            </w:pPr>
            <w:r w:rsidRPr="00651677">
              <w:rPr>
                <w:rFonts w:ascii="Times New Roman" w:eastAsia="Times New Roman" w:hAnsi="Times New Roman" w:cs="Times New Roman"/>
                <w:b/>
                <w:sz w:val="24"/>
                <w:szCs w:val="24"/>
                <w:lang w:eastAsia="es-ES"/>
              </w:rPr>
              <w:t>Densidad seca (kg/m</w:t>
            </w:r>
            <w:r w:rsidRPr="00651677">
              <w:rPr>
                <w:rFonts w:ascii="Times New Roman" w:eastAsia="Times New Roman" w:hAnsi="Times New Roman" w:cs="Times New Roman"/>
                <w:b/>
                <w:sz w:val="24"/>
                <w:szCs w:val="24"/>
                <w:vertAlign w:val="superscript"/>
                <w:lang w:eastAsia="es-ES"/>
              </w:rPr>
              <w:t>3</w:t>
            </w:r>
            <w:r w:rsidRPr="00651677">
              <w:rPr>
                <w:rFonts w:ascii="Times New Roman" w:eastAsia="Times New Roman" w:hAnsi="Times New Roman" w:cs="Times New Roman"/>
                <w:b/>
                <w:sz w:val="24"/>
                <w:szCs w:val="24"/>
                <w:lang w:eastAsia="es-ES"/>
              </w:rPr>
              <w:t>)</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2 258</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2 178</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2 195</w:t>
            </w:r>
          </w:p>
        </w:tc>
        <w:tc>
          <w:tcPr>
            <w:tcW w:w="0" w:type="auto"/>
            <w:shd w:val="clear" w:color="auto" w:fill="auto"/>
            <w:vAlign w:val="center"/>
          </w:tcPr>
          <w:p w:rsidR="002151E0" w:rsidRPr="00651677" w:rsidRDefault="002151E0" w:rsidP="00651677">
            <w:pPr>
              <w:spacing w:line="360" w:lineRule="auto"/>
              <w:jc w:val="center"/>
              <w:rPr>
                <w:rFonts w:ascii="Times New Roman" w:hAnsi="Times New Roman" w:cs="Times New Roman"/>
                <w:sz w:val="24"/>
                <w:szCs w:val="24"/>
                <w:lang w:eastAsia="es-ES"/>
              </w:rPr>
            </w:pPr>
            <w:r w:rsidRPr="00651677">
              <w:rPr>
                <w:rFonts w:ascii="Times New Roman" w:eastAsia="Times New Roman" w:hAnsi="Times New Roman" w:cs="Times New Roman"/>
                <w:sz w:val="24"/>
                <w:szCs w:val="24"/>
                <w:lang w:eastAsia="es-ES"/>
              </w:rPr>
              <w:t>2 197</w:t>
            </w:r>
          </w:p>
        </w:tc>
      </w:tr>
    </w:tbl>
    <w:p w:rsidR="002151E0" w:rsidRPr="00651677" w:rsidRDefault="002151E0" w:rsidP="00651677">
      <w:pPr>
        <w:spacing w:before="240" w:after="0" w:line="360" w:lineRule="auto"/>
        <w:jc w:val="both"/>
        <w:rPr>
          <w:rFonts w:ascii="Times New Roman" w:hAnsi="Times New Roman" w:cs="Times New Roman"/>
          <w:sz w:val="24"/>
          <w:szCs w:val="24"/>
          <w:lang w:eastAsia="es-ES"/>
        </w:rPr>
      </w:pPr>
      <w:r w:rsidRPr="00651677">
        <w:rPr>
          <w:rFonts w:ascii="Times New Roman" w:hAnsi="Times New Roman" w:cs="Times New Roman"/>
          <w:sz w:val="24"/>
          <w:szCs w:val="24"/>
        </w:rPr>
        <w:t xml:space="preserve">Las determinaciones indicaron que dichas probetas pueden ser recomendadas </w:t>
      </w:r>
      <w:r w:rsidRPr="00651677">
        <w:rPr>
          <w:rFonts w:ascii="Times New Roman" w:hAnsi="Times New Roman" w:cs="Times New Roman"/>
          <w:sz w:val="24"/>
          <w:szCs w:val="24"/>
          <w:lang w:eastAsia="es-ES"/>
        </w:rPr>
        <w:t>para su empleo en capas de sub-base en un vial a reparar o nuevo; o en los casos de bacheos profundos donde la afectación llegue al nivel de la subrasante,</w:t>
      </w:r>
      <w:r w:rsidRPr="00651677">
        <w:rPr>
          <w:rFonts w:ascii="Times New Roman" w:hAnsi="Times New Roman" w:cs="Times New Roman"/>
          <w:sz w:val="24"/>
          <w:szCs w:val="24"/>
        </w:rPr>
        <w:t xml:space="preserve"> según especifica la norma de pavimento flexi</w:t>
      </w:r>
      <w:r w:rsidR="002666B4" w:rsidRPr="00651677">
        <w:rPr>
          <w:rFonts w:ascii="Times New Roman" w:hAnsi="Times New Roman" w:cs="Times New Roman"/>
          <w:sz w:val="24"/>
          <w:szCs w:val="24"/>
        </w:rPr>
        <w:t>ble de carreteras (NC 334:2004)</w:t>
      </w:r>
      <w:r w:rsidRPr="00651677">
        <w:rPr>
          <w:rFonts w:ascii="Times New Roman" w:hAnsi="Times New Roman" w:cs="Times New Roman"/>
          <w:sz w:val="24"/>
          <w:szCs w:val="24"/>
          <w:lang w:eastAsia="es-ES"/>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lang w:eastAsia="es-ES"/>
        </w:rPr>
        <w:t>Por otro lado</w:t>
      </w:r>
      <w:r w:rsidRPr="00651677">
        <w:rPr>
          <w:rFonts w:ascii="Times New Roman" w:hAnsi="Times New Roman" w:cs="Times New Roman"/>
          <w:sz w:val="24"/>
          <w:szCs w:val="24"/>
        </w:rPr>
        <w:t>, las probetas SH</w:t>
      </w:r>
      <w:r w:rsidRPr="00651677">
        <w:rPr>
          <w:rFonts w:ascii="Times New Roman" w:hAnsi="Times New Roman" w:cs="Times New Roman"/>
          <w:sz w:val="24"/>
          <w:szCs w:val="24"/>
          <w:vertAlign w:val="subscript"/>
        </w:rPr>
        <w:t>2</w:t>
      </w:r>
      <w:r w:rsidRPr="00651677">
        <w:rPr>
          <w:rFonts w:ascii="Times New Roman" w:hAnsi="Times New Roman" w:cs="Times New Roman"/>
          <w:sz w:val="24"/>
          <w:szCs w:val="24"/>
        </w:rPr>
        <w:t xml:space="preserve"> y SH</w:t>
      </w:r>
      <w:r w:rsidRPr="00651677">
        <w:rPr>
          <w:rFonts w:ascii="Times New Roman" w:hAnsi="Times New Roman" w:cs="Times New Roman"/>
          <w:sz w:val="24"/>
          <w:szCs w:val="24"/>
          <w:vertAlign w:val="subscript"/>
        </w:rPr>
        <w:t>4</w:t>
      </w:r>
      <w:r w:rsidRPr="00651677">
        <w:rPr>
          <w:rFonts w:ascii="Times New Roman" w:hAnsi="Times New Roman" w:cs="Times New Roman"/>
          <w:sz w:val="24"/>
          <w:szCs w:val="24"/>
        </w:rPr>
        <w:t xml:space="preserve"> tienen valores de CBR menores que 20 %, se</w:t>
      </w:r>
      <w:r w:rsidR="002666B4" w:rsidRPr="00651677">
        <w:rPr>
          <w:rFonts w:ascii="Times New Roman" w:hAnsi="Times New Roman" w:cs="Times New Roman"/>
          <w:sz w:val="24"/>
          <w:szCs w:val="24"/>
        </w:rPr>
        <w:t>gún se establece (NC: 334:2004)</w:t>
      </w:r>
      <w:r w:rsidRPr="00651677">
        <w:rPr>
          <w:rFonts w:ascii="Times New Roman" w:hAnsi="Times New Roman" w:cs="Times New Roman"/>
          <w:sz w:val="24"/>
          <w:szCs w:val="24"/>
        </w:rPr>
        <w:t xml:space="preserve">, lo que no es adecuado para su uso </w:t>
      </w:r>
      <w:r w:rsidRPr="00651677">
        <w:rPr>
          <w:rFonts w:ascii="Times New Roman" w:hAnsi="Times New Roman" w:cs="Times New Roman"/>
          <w:sz w:val="24"/>
          <w:szCs w:val="24"/>
          <w:lang w:eastAsia="es-ES"/>
        </w:rPr>
        <w:t>en viales</w:t>
      </w:r>
      <w:r w:rsidRPr="00651677">
        <w:rPr>
          <w:rFonts w:ascii="Times New Roman" w:hAnsi="Times New Roman" w:cs="Times New Roman"/>
          <w:sz w:val="24"/>
          <w:szCs w:val="24"/>
        </w:rPr>
        <w:t xml:space="preserve">.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La humedad promedio es similar en todas las probetas, con valor</w:t>
      </w:r>
      <w:r w:rsidR="002666B4" w:rsidRPr="00651677">
        <w:rPr>
          <w:rFonts w:ascii="Times New Roman" w:hAnsi="Times New Roman" w:cs="Times New Roman"/>
          <w:sz w:val="24"/>
          <w:szCs w:val="24"/>
        </w:rPr>
        <w:t>es entre 3,2 % y 5,5 %</w:t>
      </w:r>
      <w:r w:rsidRPr="00651677">
        <w:rPr>
          <w:rFonts w:ascii="Times New Roman" w:hAnsi="Times New Roman" w:cs="Times New Roman"/>
          <w:sz w:val="24"/>
          <w:szCs w:val="24"/>
        </w:rPr>
        <w:t xml:space="preserve">, lo que se debe tener en cuenta para la conformación de las mezclas en las pruebas posteriores de campo. </w:t>
      </w:r>
    </w:p>
    <w:p w:rsidR="002151E0" w:rsidRPr="00651677" w:rsidRDefault="002151E0"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A pesar de que los valores de resistencia con SH</w:t>
      </w:r>
      <w:r w:rsidRPr="00651677">
        <w:rPr>
          <w:rFonts w:ascii="Times New Roman" w:hAnsi="Times New Roman" w:cs="Times New Roman"/>
          <w:sz w:val="24"/>
          <w:szCs w:val="24"/>
          <w:vertAlign w:val="subscript"/>
        </w:rPr>
        <w:t>1</w:t>
      </w:r>
      <w:r w:rsidRPr="00651677">
        <w:rPr>
          <w:rFonts w:ascii="Times New Roman" w:hAnsi="Times New Roman" w:cs="Times New Roman"/>
          <w:sz w:val="24"/>
          <w:szCs w:val="24"/>
        </w:rPr>
        <w:t xml:space="preserve"> y SH</w:t>
      </w:r>
      <w:r w:rsidRPr="00651677">
        <w:rPr>
          <w:rFonts w:ascii="Times New Roman" w:hAnsi="Times New Roman" w:cs="Times New Roman"/>
          <w:sz w:val="24"/>
          <w:szCs w:val="24"/>
          <w:vertAlign w:val="subscript"/>
        </w:rPr>
        <w:t>3</w:t>
      </w:r>
      <w:r w:rsidRPr="00651677">
        <w:rPr>
          <w:rFonts w:ascii="Times New Roman" w:hAnsi="Times New Roman" w:cs="Times New Roman"/>
          <w:sz w:val="24"/>
          <w:szCs w:val="24"/>
        </w:rPr>
        <w:t xml:space="preserve"> fueron ligeramente inferiores (33 y 32 %, respectivamente) a los obtenidos con corte seco también son efectivos para emplearlos como sub base en carreteras, aeropuertos, caminos de baja intensidad de tráfico y de bajo costo como se especifica la norma cuban</w:t>
      </w:r>
      <w:r w:rsidR="002666B4" w:rsidRPr="00651677">
        <w:rPr>
          <w:rFonts w:ascii="Times New Roman" w:hAnsi="Times New Roman" w:cs="Times New Roman"/>
          <w:sz w:val="24"/>
          <w:szCs w:val="24"/>
        </w:rPr>
        <w:t>a (NC 161:2002) para carreteras</w:t>
      </w:r>
      <w:r w:rsidRPr="00651677">
        <w:rPr>
          <w:rFonts w:ascii="Times New Roman" w:hAnsi="Times New Roman" w:cs="Times New Roman"/>
          <w:sz w:val="24"/>
          <w:szCs w:val="24"/>
        </w:rPr>
        <w:t>.</w:t>
      </w:r>
    </w:p>
    <w:p w:rsidR="002151E0" w:rsidRPr="00651677" w:rsidRDefault="00074E64" w:rsidP="00651677">
      <w:pPr>
        <w:pStyle w:val="Ttulo2"/>
        <w:spacing w:before="80" w:after="80" w:line="360" w:lineRule="auto"/>
        <w:rPr>
          <w:rFonts w:ascii="Times New Roman" w:hAnsi="Times New Roman" w:cs="Times New Roman"/>
          <w:b/>
          <w:color w:val="auto"/>
          <w:sz w:val="24"/>
          <w:szCs w:val="24"/>
        </w:rPr>
      </w:pPr>
      <w:bookmarkStart w:id="11" w:name="_Toc137102357"/>
      <w:r w:rsidRPr="00651677">
        <w:rPr>
          <w:rFonts w:ascii="Times New Roman" w:eastAsia="Calibri" w:hAnsi="Times New Roman" w:cs="Times New Roman"/>
          <w:b/>
          <w:color w:val="auto"/>
          <w:sz w:val="24"/>
          <w:szCs w:val="24"/>
          <w:lang w:eastAsia="es-ES"/>
        </w:rPr>
        <w:t>1</w:t>
      </w:r>
      <w:r w:rsidR="002151E0" w:rsidRPr="00651677">
        <w:rPr>
          <w:rFonts w:ascii="Times New Roman" w:eastAsia="Calibri" w:hAnsi="Times New Roman" w:cs="Times New Roman"/>
          <w:b/>
          <w:color w:val="auto"/>
          <w:sz w:val="24"/>
          <w:szCs w:val="24"/>
          <w:lang w:eastAsia="es-ES"/>
        </w:rPr>
        <w:t>.4.2. Análisis estadísticos de las probetas de CBR con mejores resultados</w:t>
      </w:r>
      <w:bookmarkEnd w:id="11"/>
    </w:p>
    <w:p w:rsidR="002151E0" w:rsidRPr="00651677" w:rsidRDefault="00507EFA"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E</w:t>
      </w:r>
      <w:r w:rsidR="00D539C8" w:rsidRPr="00651677">
        <w:rPr>
          <w:rFonts w:ascii="Times New Roman" w:hAnsi="Times New Roman" w:cs="Times New Roman"/>
          <w:sz w:val="24"/>
          <w:szCs w:val="24"/>
        </w:rPr>
        <w:t xml:space="preserve">l análisis ANOVA </w:t>
      </w:r>
      <w:r w:rsidR="00074E64" w:rsidRPr="00651677">
        <w:rPr>
          <w:rFonts w:ascii="Times New Roman" w:hAnsi="Times New Roman" w:cs="Times New Roman"/>
          <w:sz w:val="24"/>
          <w:szCs w:val="24"/>
        </w:rPr>
        <w:t>(figura 2</w:t>
      </w:r>
      <w:r w:rsidR="002151E0" w:rsidRPr="00651677">
        <w:rPr>
          <w:rFonts w:ascii="Times New Roman" w:hAnsi="Times New Roman" w:cs="Times New Roman"/>
          <w:sz w:val="24"/>
          <w:szCs w:val="24"/>
        </w:rPr>
        <w:t xml:space="preserve"> b)) de medias repetidas para comparar los porcentajes de CBR entre los tres tipos de suelo con las probetas con mejores resultados (corte seco y las mezclas seleccionadas). Entre las mediciones repetidas dentro de cada tipo de suelo se demostró la variabilidad de los datos dentro de cada nivel de suelo (Cs</w:t>
      </w:r>
      <w:r w:rsidR="002151E0" w:rsidRPr="00651677">
        <w:rPr>
          <w:rFonts w:ascii="Times New Roman" w:hAnsi="Times New Roman" w:cs="Times New Roman"/>
          <w:sz w:val="24"/>
          <w:szCs w:val="24"/>
          <w:vertAlign w:val="subscript"/>
        </w:rPr>
        <w:t>1</w:t>
      </w:r>
      <w:r w:rsidR="002151E0" w:rsidRPr="00651677">
        <w:rPr>
          <w:rFonts w:ascii="Times New Roman" w:hAnsi="Times New Roman" w:cs="Times New Roman"/>
          <w:sz w:val="24"/>
          <w:szCs w:val="24"/>
        </w:rPr>
        <w:t>, SH</w:t>
      </w:r>
      <w:r w:rsidR="002151E0" w:rsidRPr="00651677">
        <w:rPr>
          <w:rFonts w:ascii="Times New Roman" w:hAnsi="Times New Roman" w:cs="Times New Roman"/>
          <w:sz w:val="24"/>
          <w:szCs w:val="24"/>
          <w:vertAlign w:val="subscript"/>
        </w:rPr>
        <w:t>1</w:t>
      </w:r>
      <w:r w:rsidR="002151E0" w:rsidRPr="00651677">
        <w:rPr>
          <w:rFonts w:ascii="Times New Roman" w:hAnsi="Times New Roman" w:cs="Times New Roman"/>
          <w:sz w:val="24"/>
          <w:szCs w:val="24"/>
        </w:rPr>
        <w:t xml:space="preserve"> y SH</w:t>
      </w:r>
      <w:r w:rsidR="002151E0" w:rsidRPr="00651677">
        <w:rPr>
          <w:rFonts w:ascii="Times New Roman" w:hAnsi="Times New Roman" w:cs="Times New Roman"/>
          <w:sz w:val="24"/>
          <w:szCs w:val="24"/>
          <w:vertAlign w:val="subscript"/>
        </w:rPr>
        <w:t>3</w:t>
      </w:r>
      <w:r w:rsidR="002151E0" w:rsidRPr="00651677">
        <w:rPr>
          <w:rFonts w:ascii="Times New Roman" w:hAnsi="Times New Roman" w:cs="Times New Roman"/>
          <w:sz w:val="24"/>
          <w:szCs w:val="24"/>
        </w:rPr>
        <w:t xml:space="preserve">) con diferencias significativas entre los tres tipos de suelo con un nivel del 95,0 % de confianza </w:t>
      </w:r>
      <w:r w:rsidR="00074E64" w:rsidRPr="00651677">
        <w:rPr>
          <w:rFonts w:ascii="Times New Roman" w:hAnsi="Times New Roman" w:cs="Times New Roman"/>
          <w:sz w:val="24"/>
          <w:szCs w:val="24"/>
        </w:rPr>
        <w:t>(figura 2</w:t>
      </w:r>
      <w:r w:rsidR="002151E0" w:rsidRPr="00651677">
        <w:rPr>
          <w:rFonts w:ascii="Times New Roman" w:hAnsi="Times New Roman" w:cs="Times New Roman"/>
          <w:sz w:val="24"/>
          <w:szCs w:val="24"/>
        </w:rPr>
        <w:t xml:space="preserve"> a). Se observa una mayor variabilidad dentro del nivel de suelo Cs</w:t>
      </w:r>
      <w:r w:rsidR="002151E0" w:rsidRPr="00651677">
        <w:rPr>
          <w:rFonts w:ascii="Times New Roman" w:hAnsi="Times New Roman" w:cs="Times New Roman"/>
          <w:sz w:val="24"/>
          <w:szCs w:val="24"/>
          <w:vertAlign w:val="subscript"/>
        </w:rPr>
        <w:t>1</w:t>
      </w:r>
      <w:r w:rsidR="002151E0" w:rsidRPr="00651677">
        <w:rPr>
          <w:rFonts w:ascii="Times New Roman" w:hAnsi="Times New Roman" w:cs="Times New Roman"/>
          <w:sz w:val="24"/>
          <w:szCs w:val="24"/>
        </w:rPr>
        <w:t xml:space="preserve"> que en los otros dos niveles. También evidenció que los porcentajes de CBR son similares entre las otras dos probetas de cada nivel y que el tipo de suelo tuvo un efecto significativo en el porcentaje de CBR.</w:t>
      </w:r>
    </w:p>
    <w:p w:rsidR="002151E0" w:rsidRPr="00651677" w:rsidRDefault="002151E0" w:rsidP="00651677">
      <w:pPr>
        <w:spacing w:after="0" w:line="360" w:lineRule="auto"/>
        <w:jc w:val="center"/>
        <w:rPr>
          <w:rFonts w:ascii="Times New Roman" w:hAnsi="Times New Roman" w:cs="Times New Roman"/>
          <w:sz w:val="24"/>
          <w:szCs w:val="24"/>
        </w:rPr>
      </w:pPr>
      <w:r w:rsidRPr="00651677">
        <w:rPr>
          <w:rFonts w:ascii="Times New Roman" w:hAnsi="Times New Roman" w:cs="Times New Roman"/>
          <w:noProof/>
          <w:sz w:val="24"/>
          <w:szCs w:val="24"/>
          <w:lang w:eastAsia="es-ES"/>
        </w:rPr>
        <w:lastRenderedPageBreak/>
        <w:drawing>
          <wp:inline distT="0" distB="0" distL="0" distR="0" wp14:anchorId="42E9AC60" wp14:editId="1986AED3">
            <wp:extent cx="2507816" cy="2030818"/>
            <wp:effectExtent l="0" t="0" r="6985" b="7620"/>
            <wp:docPr id="1067"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n 43"/>
                    <pic:cNvPicPr/>
                  </pic:nvPicPr>
                  <pic:blipFill>
                    <a:blip r:embed="rId9" cstate="print"/>
                    <a:srcRect l="12319" t="15261" r="19575" b="7457"/>
                    <a:stretch/>
                  </pic:blipFill>
                  <pic:spPr>
                    <a:xfrm>
                      <a:off x="0" y="0"/>
                      <a:ext cx="2507816" cy="2030818"/>
                    </a:xfrm>
                    <a:prstGeom prst="rect">
                      <a:avLst/>
                    </a:prstGeom>
                    <a:ln>
                      <a:noFill/>
                    </a:ln>
                  </pic:spPr>
                </pic:pic>
              </a:graphicData>
            </a:graphic>
          </wp:inline>
        </w:drawing>
      </w:r>
      <w:r w:rsidRPr="00651677">
        <w:rPr>
          <w:rFonts w:ascii="Times New Roman" w:hAnsi="Times New Roman" w:cs="Times New Roman"/>
          <w:sz w:val="24"/>
          <w:szCs w:val="24"/>
        </w:rPr>
        <w:t xml:space="preserve"> </w:t>
      </w:r>
      <w:r w:rsidRPr="00651677">
        <w:rPr>
          <w:rFonts w:ascii="Times New Roman" w:hAnsi="Times New Roman" w:cs="Times New Roman"/>
          <w:noProof/>
          <w:sz w:val="24"/>
          <w:szCs w:val="24"/>
          <w:lang w:eastAsia="es-ES"/>
        </w:rPr>
        <w:drawing>
          <wp:inline distT="0" distB="0" distL="0" distR="0" wp14:anchorId="5EEDA739" wp14:editId="5E3515FD">
            <wp:extent cx="2833359" cy="2082844"/>
            <wp:effectExtent l="0" t="0" r="5715" b="0"/>
            <wp:docPr id="1068"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n 44"/>
                    <pic:cNvPicPr/>
                  </pic:nvPicPr>
                  <pic:blipFill>
                    <a:blip r:embed="rId10" cstate="print"/>
                    <a:srcRect l="9883" t="16336" r="18312" b="10609"/>
                    <a:stretch/>
                  </pic:blipFill>
                  <pic:spPr>
                    <a:xfrm>
                      <a:off x="0" y="0"/>
                      <a:ext cx="2833359" cy="2082844"/>
                    </a:xfrm>
                    <a:prstGeom prst="rect">
                      <a:avLst/>
                    </a:prstGeom>
                    <a:ln>
                      <a:noFill/>
                    </a:ln>
                  </pic:spPr>
                </pic:pic>
              </a:graphicData>
            </a:graphic>
          </wp:inline>
        </w:drawing>
      </w:r>
      <w:r w:rsidRPr="00651677">
        <w:rPr>
          <w:rFonts w:ascii="Times New Roman" w:hAnsi="Times New Roman" w:cs="Times New Roman"/>
          <w:sz w:val="24"/>
          <w:szCs w:val="24"/>
        </w:rPr>
        <w:t xml:space="preserve"> </w:t>
      </w:r>
    </w:p>
    <w:p w:rsidR="002151E0" w:rsidRPr="00651677" w:rsidRDefault="002151E0" w:rsidP="00651677">
      <w:pPr>
        <w:pStyle w:val="Prrafodelista"/>
        <w:numPr>
          <w:ilvl w:val="0"/>
          <w:numId w:val="8"/>
        </w:numPr>
        <w:spacing w:line="360" w:lineRule="auto"/>
        <w:jc w:val="center"/>
        <w:rPr>
          <w:rFonts w:ascii="Times New Roman" w:hAnsi="Times New Roman" w:cs="Times New Roman"/>
          <w:b/>
          <w:sz w:val="24"/>
          <w:szCs w:val="24"/>
        </w:rPr>
      </w:pPr>
      <w:r w:rsidRPr="00651677">
        <w:rPr>
          <w:rFonts w:ascii="Times New Roman" w:hAnsi="Times New Roman" w:cs="Times New Roman"/>
          <w:b/>
          <w:sz w:val="24"/>
          <w:szCs w:val="24"/>
        </w:rPr>
        <w:t xml:space="preserve">                                           b)</w:t>
      </w:r>
    </w:p>
    <w:p w:rsidR="002151E0" w:rsidRPr="00651677" w:rsidRDefault="00074E64" w:rsidP="00651677">
      <w:pPr>
        <w:spacing w:line="360" w:lineRule="auto"/>
        <w:jc w:val="center"/>
        <w:rPr>
          <w:rFonts w:ascii="Times New Roman" w:hAnsi="Times New Roman" w:cs="Times New Roman"/>
          <w:sz w:val="24"/>
          <w:szCs w:val="24"/>
        </w:rPr>
      </w:pPr>
      <w:r w:rsidRPr="00651677">
        <w:rPr>
          <w:rFonts w:ascii="Times New Roman" w:hAnsi="Times New Roman" w:cs="Times New Roman"/>
          <w:b/>
          <w:sz w:val="24"/>
          <w:szCs w:val="24"/>
        </w:rPr>
        <w:t>Figura 2</w:t>
      </w:r>
      <w:r w:rsidR="002151E0" w:rsidRPr="00651677">
        <w:rPr>
          <w:rFonts w:ascii="Times New Roman" w:hAnsi="Times New Roman" w:cs="Times New Roman"/>
          <w:sz w:val="24"/>
          <w:szCs w:val="24"/>
        </w:rPr>
        <w:t xml:space="preserve">. Análisis estadísticos: a) dispersión por código de nivel y b) Anova para CBR. </w:t>
      </w:r>
    </w:p>
    <w:p w:rsidR="00955CFD" w:rsidRPr="00651677" w:rsidRDefault="002151E0" w:rsidP="00651677">
      <w:pPr>
        <w:spacing w:after="3" w:line="360" w:lineRule="auto"/>
        <w:jc w:val="both"/>
        <w:rPr>
          <w:rFonts w:ascii="Times New Roman" w:hAnsi="Times New Roman" w:cs="Times New Roman"/>
          <w:sz w:val="24"/>
          <w:szCs w:val="24"/>
        </w:rPr>
      </w:pPr>
      <w:r w:rsidRPr="00651677">
        <w:rPr>
          <w:rFonts w:ascii="Times New Roman" w:hAnsi="Times New Roman" w:cs="Times New Roman"/>
          <w:sz w:val="24"/>
          <w:szCs w:val="24"/>
        </w:rPr>
        <w:t>Teniendo en cuenta lo planteado anteriormente, se considera que los cortes secos (Cs</w:t>
      </w:r>
      <w:r w:rsidRPr="00651677">
        <w:rPr>
          <w:rFonts w:ascii="Times New Roman" w:hAnsi="Times New Roman" w:cs="Times New Roman"/>
          <w:sz w:val="24"/>
          <w:szCs w:val="24"/>
          <w:vertAlign w:val="subscript"/>
        </w:rPr>
        <w:t>1</w:t>
      </w:r>
      <w:r w:rsidRPr="00651677">
        <w:rPr>
          <w:rFonts w:ascii="Times New Roman" w:hAnsi="Times New Roman" w:cs="Times New Roman"/>
          <w:sz w:val="24"/>
          <w:szCs w:val="24"/>
        </w:rPr>
        <w:t>) tienen mayor potencialidad para su utilización en la constru</w:t>
      </w:r>
      <w:r w:rsidR="00955CFD" w:rsidRPr="00651677">
        <w:rPr>
          <w:rFonts w:ascii="Times New Roman" w:hAnsi="Times New Roman" w:cs="Times New Roman"/>
          <w:sz w:val="24"/>
          <w:szCs w:val="24"/>
        </w:rPr>
        <w:t>cción de carreteras y pavimentos</w:t>
      </w:r>
      <w:r w:rsidRPr="00651677">
        <w:rPr>
          <w:rFonts w:ascii="Times New Roman" w:hAnsi="Times New Roman" w:cs="Times New Roman"/>
          <w:sz w:val="24"/>
          <w:szCs w:val="24"/>
        </w:rPr>
        <w:t>.</w:t>
      </w:r>
    </w:p>
    <w:p w:rsidR="00826323" w:rsidRDefault="00955CFD" w:rsidP="00826323">
      <w:pPr>
        <w:spacing w:after="3" w:line="360" w:lineRule="auto"/>
        <w:jc w:val="both"/>
        <w:rPr>
          <w:rFonts w:ascii="Times New Roman" w:eastAsia="Arial" w:hAnsi="Times New Roman" w:cs="Times New Roman"/>
          <w:color w:val="000000"/>
          <w:sz w:val="24"/>
          <w:szCs w:val="24"/>
        </w:rPr>
      </w:pPr>
      <w:r w:rsidRPr="00651677">
        <w:rPr>
          <w:rFonts w:ascii="Times New Roman" w:eastAsia="Arial" w:hAnsi="Times New Roman" w:cs="Times New Roman"/>
          <w:color w:val="000000"/>
          <w:sz w:val="24"/>
          <w:szCs w:val="24"/>
        </w:rPr>
        <w:t>La alternativa evaluada se considera atractiva para la industria de la construcción, demostrando la disminución de costos de obtención de áridos que se utilizan convencionalmente para la producción de dichos materiales. Consecuentemente se disminuirán los</w:t>
      </w:r>
      <w:r w:rsidRPr="00651677">
        <w:rPr>
          <w:rFonts w:ascii="Times New Roman" w:eastAsia="Arial" w:hAnsi="Times New Roman" w:cs="Times New Roman"/>
          <w:b/>
          <w:color w:val="000000"/>
          <w:sz w:val="24"/>
          <w:szCs w:val="24"/>
        </w:rPr>
        <w:t xml:space="preserve"> </w:t>
      </w:r>
      <w:r w:rsidRPr="00651677">
        <w:rPr>
          <w:rFonts w:ascii="Times New Roman" w:eastAsia="Arial" w:hAnsi="Times New Roman" w:cs="Times New Roman"/>
          <w:color w:val="000000"/>
          <w:sz w:val="24"/>
          <w:szCs w:val="24"/>
        </w:rPr>
        <w:t>costos evitados por multas a las empresas petroleras perforadoras como consecuencia del incumplimiento de las medidas de regulación ambiental para el manejo de desechos peligrosos. Además, la utilización de este residual para la conformación de materiales de la construcción sería una alternativa de disposición final segura que elimina contrataciones adicionales con empresas extranjeras para el tratamiento de los cortes de perforación</w:t>
      </w:r>
      <w:r w:rsidR="003011E8">
        <w:rPr>
          <w:rFonts w:ascii="Times New Roman" w:eastAsia="Arial" w:hAnsi="Times New Roman" w:cs="Times New Roman"/>
          <w:color w:val="000000"/>
          <w:sz w:val="24"/>
          <w:szCs w:val="24"/>
        </w:rPr>
        <w:t xml:space="preserve"> contaminados con</w:t>
      </w:r>
      <w:r w:rsidRPr="00651677">
        <w:rPr>
          <w:rFonts w:ascii="Times New Roman" w:eastAsia="Arial" w:hAnsi="Times New Roman" w:cs="Times New Roman"/>
          <w:color w:val="000000"/>
          <w:sz w:val="24"/>
          <w:szCs w:val="24"/>
        </w:rPr>
        <w:t xml:space="preserve"> diésel. Lo más importantes que es una práctica sustentable que da un valor de reúso al residual contribuyendo a la economía circular y siendo una propuesta muy interesante desde el punto de vista económico para los países tercermundistas donde no se cuenta con tecnologías avanzadas para </w:t>
      </w:r>
      <w:r w:rsidR="003011E8">
        <w:rPr>
          <w:rFonts w:ascii="Times New Roman" w:eastAsia="Arial" w:hAnsi="Times New Roman" w:cs="Times New Roman"/>
          <w:color w:val="000000"/>
          <w:sz w:val="24"/>
          <w:szCs w:val="24"/>
        </w:rPr>
        <w:t xml:space="preserve">su tratamiento </w:t>
      </w:r>
      <w:r w:rsidR="006B3E7D" w:rsidRPr="00651677">
        <w:rPr>
          <w:rFonts w:ascii="Times New Roman" w:hAnsi="Times New Roman" w:cs="Times New Roman"/>
          <w:sz w:val="24"/>
          <w:szCs w:val="24"/>
        </w:rPr>
        <w:t>y no habría necesidad de explotar materias primas convencionales que son costosas</w:t>
      </w:r>
      <w:r w:rsidRPr="00651677">
        <w:rPr>
          <w:rFonts w:ascii="Times New Roman" w:eastAsia="Arial" w:hAnsi="Times New Roman" w:cs="Times New Roman"/>
          <w:color w:val="000000"/>
          <w:sz w:val="24"/>
          <w:szCs w:val="24"/>
        </w:rPr>
        <w:t xml:space="preserve">. </w:t>
      </w:r>
      <w:bookmarkStart w:id="12" w:name="_Toc137102359"/>
    </w:p>
    <w:p w:rsidR="00D539C8" w:rsidRPr="00826323" w:rsidRDefault="00074E64" w:rsidP="00826323">
      <w:pPr>
        <w:spacing w:after="3" w:line="360" w:lineRule="auto"/>
        <w:jc w:val="both"/>
        <w:rPr>
          <w:rFonts w:ascii="Times New Roman" w:hAnsi="Times New Roman" w:cs="Times New Roman"/>
          <w:sz w:val="24"/>
          <w:szCs w:val="24"/>
        </w:rPr>
      </w:pPr>
      <w:r w:rsidRPr="00651677">
        <w:rPr>
          <w:rFonts w:ascii="Times New Roman" w:hAnsi="Times New Roman" w:cs="Times New Roman"/>
          <w:b/>
          <w:sz w:val="24"/>
          <w:szCs w:val="24"/>
          <w:lang w:eastAsia="es-ES"/>
        </w:rPr>
        <w:t>1</w:t>
      </w:r>
      <w:r w:rsidR="00D539C8" w:rsidRPr="00651677">
        <w:rPr>
          <w:rFonts w:ascii="Times New Roman" w:hAnsi="Times New Roman" w:cs="Times New Roman"/>
          <w:b/>
          <w:sz w:val="24"/>
          <w:szCs w:val="24"/>
          <w:lang w:eastAsia="es-ES"/>
        </w:rPr>
        <w:t>.5. Impacto social y medioambiental</w:t>
      </w:r>
      <w:bookmarkEnd w:id="12"/>
      <w:r w:rsidR="00767BD2" w:rsidRPr="00651677">
        <w:rPr>
          <w:rFonts w:ascii="Times New Roman" w:hAnsi="Times New Roman" w:cs="Times New Roman"/>
          <w:b/>
          <w:sz w:val="24"/>
          <w:szCs w:val="24"/>
          <w:lang w:eastAsia="es-ES"/>
        </w:rPr>
        <w:t xml:space="preserve"> rumbo a</w:t>
      </w:r>
      <w:r w:rsidRPr="00651677">
        <w:rPr>
          <w:rFonts w:ascii="Times New Roman" w:hAnsi="Times New Roman" w:cs="Times New Roman"/>
          <w:b/>
          <w:sz w:val="24"/>
          <w:szCs w:val="24"/>
          <w:lang w:eastAsia="es-ES"/>
        </w:rPr>
        <w:t>l 2100</w:t>
      </w:r>
    </w:p>
    <w:p w:rsidR="00F22DA5" w:rsidRPr="00651677" w:rsidRDefault="00D539C8"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lang w:eastAsia="es-ES"/>
        </w:rPr>
        <w:t>Dentro de un concepto de desarrollo sostenible e impacto ambiental y social positivo, con la propuesta evaluada se garantiza que la industria petrolera se enmarque en el objetivo de la conservación y el uso racional de los recursos naturales, la protección del ecosistema y la salud humana. Además, se contribuye a reducir los volúmenes almacenados de desechos peligrosos de este tipo con el desarrollo de nuevos métodos en procesos de recuperación y reciclaje para el uso eficiente de los recursos y la utilización de materiales</w:t>
      </w:r>
      <w:r w:rsidR="002666B4" w:rsidRPr="00651677">
        <w:rPr>
          <w:rFonts w:ascii="Times New Roman" w:hAnsi="Times New Roman" w:cs="Times New Roman"/>
          <w:sz w:val="24"/>
          <w:szCs w:val="24"/>
          <w:lang w:eastAsia="es-ES"/>
        </w:rPr>
        <w:t xml:space="preserve"> </w:t>
      </w:r>
      <w:r w:rsidR="002666B4" w:rsidRPr="00651677">
        <w:rPr>
          <w:rFonts w:ascii="Times New Roman" w:hAnsi="Times New Roman" w:cs="Times New Roman"/>
          <w:sz w:val="24"/>
          <w:szCs w:val="24"/>
          <w:lang w:eastAsia="es-ES"/>
        </w:rPr>
        <w:lastRenderedPageBreak/>
        <w:t>de desechos como recurso verde</w:t>
      </w:r>
      <w:r w:rsidRPr="00651677">
        <w:rPr>
          <w:rFonts w:ascii="Times New Roman" w:hAnsi="Times New Roman" w:cs="Times New Roman"/>
          <w:sz w:val="24"/>
          <w:szCs w:val="24"/>
          <w:lang w:eastAsia="es-ES"/>
        </w:rPr>
        <w:t xml:space="preserve">. En adición a eso, se disminuyen los riesgos a los que están expuestos los trabajadores y personas de las comunidades cercanas a las entidades que contienen los cortes. </w:t>
      </w:r>
      <w:r w:rsidR="008757BF" w:rsidRPr="00651677">
        <w:rPr>
          <w:rFonts w:ascii="Times New Roman" w:hAnsi="Times New Roman" w:cs="Times New Roman"/>
          <w:sz w:val="24"/>
          <w:szCs w:val="24"/>
        </w:rPr>
        <w:t>También</w:t>
      </w:r>
      <w:r w:rsidR="00F22DA5" w:rsidRPr="00651677">
        <w:rPr>
          <w:rFonts w:ascii="Times New Roman" w:hAnsi="Times New Roman" w:cs="Times New Roman"/>
          <w:sz w:val="24"/>
          <w:szCs w:val="24"/>
        </w:rPr>
        <w:t>, el reúso de los cortes de perforación para pavimento tendrá un impacto positivo en la reducción de emisiones de carbono. Al utilizar estos cortes en lugar de materiales tradicionales, se evitará la extracción de re</w:t>
      </w:r>
      <w:r w:rsidR="008757BF" w:rsidRPr="00651677">
        <w:rPr>
          <w:rFonts w:ascii="Times New Roman" w:hAnsi="Times New Roman" w:cs="Times New Roman"/>
          <w:sz w:val="24"/>
          <w:szCs w:val="24"/>
        </w:rPr>
        <w:t xml:space="preserve">cursos naturales disminuiría </w:t>
      </w:r>
      <w:r w:rsidR="00F22DA5" w:rsidRPr="00651677">
        <w:rPr>
          <w:rFonts w:ascii="Times New Roman" w:hAnsi="Times New Roman" w:cs="Times New Roman"/>
          <w:sz w:val="24"/>
          <w:szCs w:val="24"/>
        </w:rPr>
        <w:t>la emisión de gases de efecto invernadero asociados a estas actividades. La disminución de los residuos de construcción y demolición también contribuiría a la reducción de los vertederos y a la contaminación del suelo y del agua. Esto apoyará a la lucha contra el cambio climático y la mejora de la calidad del aire.</w:t>
      </w:r>
      <w:r w:rsidR="006B3E7D" w:rsidRPr="00651677">
        <w:rPr>
          <w:rFonts w:ascii="Times New Roman" w:hAnsi="Times New Roman" w:cs="Times New Roman"/>
          <w:sz w:val="24"/>
          <w:szCs w:val="24"/>
        </w:rPr>
        <w:t xml:space="preserve"> </w:t>
      </w:r>
      <w:r w:rsidR="00F22DA5" w:rsidRPr="00651677">
        <w:rPr>
          <w:rFonts w:ascii="Times New Roman" w:hAnsi="Times New Roman" w:cs="Times New Roman"/>
          <w:sz w:val="24"/>
          <w:szCs w:val="24"/>
        </w:rPr>
        <w:t>Además, la implementación de la economía circular fomentará la creación de empleo en el sector de la gestión de residuos y la producción de pavimento todo ello hacia un 2100 sostenible.</w:t>
      </w:r>
    </w:p>
    <w:p w:rsidR="00E311EE" w:rsidRPr="00651677" w:rsidRDefault="00E311EE" w:rsidP="00651677">
      <w:pPr>
        <w:pStyle w:val="Ttulo2"/>
        <w:spacing w:before="80" w:after="80" w:line="360" w:lineRule="auto"/>
        <w:rPr>
          <w:rFonts w:ascii="Times New Roman" w:eastAsia="Calibri" w:hAnsi="Times New Roman" w:cs="Times New Roman"/>
          <w:b/>
          <w:color w:val="auto"/>
          <w:sz w:val="24"/>
          <w:szCs w:val="24"/>
          <w:lang w:eastAsia="es-ES"/>
        </w:rPr>
      </w:pPr>
      <w:r w:rsidRPr="00651677">
        <w:rPr>
          <w:rFonts w:ascii="Times New Roman" w:eastAsia="Calibri" w:hAnsi="Times New Roman" w:cs="Times New Roman"/>
          <w:b/>
          <w:color w:val="auto"/>
          <w:sz w:val="24"/>
          <w:szCs w:val="24"/>
          <w:lang w:eastAsia="es-ES"/>
        </w:rPr>
        <w:t xml:space="preserve">Capítulo 2. </w:t>
      </w:r>
      <w:r w:rsidR="00F14CAA" w:rsidRPr="00651677">
        <w:rPr>
          <w:rFonts w:ascii="Times New Roman" w:eastAsia="Calibri" w:hAnsi="Times New Roman" w:cs="Times New Roman"/>
          <w:b/>
          <w:color w:val="auto"/>
          <w:sz w:val="24"/>
          <w:szCs w:val="24"/>
          <w:lang w:eastAsia="es-ES"/>
        </w:rPr>
        <w:t>Un enfoque</w:t>
      </w:r>
      <w:r w:rsidR="00D6123A" w:rsidRPr="00651677">
        <w:rPr>
          <w:rFonts w:ascii="Times New Roman" w:eastAsia="Calibri" w:hAnsi="Times New Roman" w:cs="Times New Roman"/>
          <w:b/>
          <w:color w:val="auto"/>
          <w:sz w:val="24"/>
          <w:szCs w:val="24"/>
          <w:lang w:eastAsia="es-ES"/>
        </w:rPr>
        <w:t xml:space="preserve"> de la propuesta</w:t>
      </w:r>
      <w:r w:rsidR="00F14CAA" w:rsidRPr="00651677">
        <w:rPr>
          <w:rFonts w:ascii="Times New Roman" w:eastAsia="Calibri" w:hAnsi="Times New Roman" w:cs="Times New Roman"/>
          <w:b/>
          <w:color w:val="auto"/>
          <w:sz w:val="24"/>
          <w:szCs w:val="24"/>
          <w:lang w:eastAsia="es-ES"/>
        </w:rPr>
        <w:t xml:space="preserve"> </w:t>
      </w:r>
      <w:r w:rsidRPr="00651677">
        <w:rPr>
          <w:rFonts w:ascii="Times New Roman" w:eastAsia="Calibri" w:hAnsi="Times New Roman" w:cs="Times New Roman"/>
          <w:b/>
          <w:color w:val="auto"/>
          <w:sz w:val="24"/>
          <w:szCs w:val="24"/>
          <w:lang w:eastAsia="es-ES"/>
        </w:rPr>
        <w:t xml:space="preserve">hacia </w:t>
      </w:r>
      <w:r w:rsidR="00D6123A" w:rsidRPr="00651677">
        <w:rPr>
          <w:rFonts w:ascii="Times New Roman" w:eastAsia="Calibri" w:hAnsi="Times New Roman" w:cs="Times New Roman"/>
          <w:b/>
          <w:color w:val="auto"/>
          <w:sz w:val="24"/>
          <w:szCs w:val="24"/>
          <w:lang w:eastAsia="es-ES"/>
        </w:rPr>
        <w:t>el</w:t>
      </w:r>
      <w:r w:rsidR="00F14CAA" w:rsidRPr="00651677">
        <w:rPr>
          <w:rFonts w:ascii="Times New Roman" w:eastAsia="Calibri" w:hAnsi="Times New Roman" w:cs="Times New Roman"/>
          <w:b/>
          <w:color w:val="auto"/>
          <w:sz w:val="24"/>
          <w:szCs w:val="24"/>
          <w:lang w:eastAsia="es-ES"/>
        </w:rPr>
        <w:t xml:space="preserve"> futuro sostenible </w:t>
      </w:r>
    </w:p>
    <w:p w:rsidR="004C14FD" w:rsidRPr="00651677" w:rsidRDefault="004C14FD" w:rsidP="00651677">
      <w:pPr>
        <w:spacing w:line="360" w:lineRule="auto"/>
        <w:jc w:val="both"/>
        <w:rPr>
          <w:rFonts w:ascii="Times New Roman" w:hAnsi="Times New Roman" w:cs="Times New Roman"/>
          <w:sz w:val="24"/>
          <w:szCs w:val="24"/>
          <w:lang w:val="es-US" w:eastAsia="es-ES"/>
        </w:rPr>
      </w:pPr>
      <w:r w:rsidRPr="00651677">
        <w:rPr>
          <w:rFonts w:ascii="Times New Roman" w:hAnsi="Times New Roman" w:cs="Times New Roman"/>
          <w:sz w:val="24"/>
          <w:szCs w:val="24"/>
          <w:lang w:val="es-US" w:eastAsia="es-ES"/>
        </w:rPr>
        <w:t>En este capítulo, se explorará cómo la propuesta evaluada está enfocada en un futuro sostenible, utilizando la imaginación como una herramienta fundamental para la innovación. Se analizará cómo la investigación y el desarrollo científico pueden desempeñar un papel crucial en la creación de soluciones sostenibles para desafíos ambientales y sociales. Se considerará el papel de la imaginación y la creatividad en la generación de nuevas ideas y enfoques para abordar problemas complejos, y se explorarán las formas en que la ciencia puede impulsar un cambio positivo hacia un futuro más sostenible.</w:t>
      </w:r>
    </w:p>
    <w:p w:rsidR="00F14CAA" w:rsidRPr="00651677" w:rsidRDefault="00F14CAA" w:rsidP="00651677">
      <w:pPr>
        <w:pStyle w:val="Ttulo2"/>
        <w:spacing w:after="240" w:line="360" w:lineRule="auto"/>
        <w:jc w:val="both"/>
        <w:rPr>
          <w:rFonts w:ascii="Times New Roman" w:hAnsi="Times New Roman" w:cs="Times New Roman"/>
          <w:b/>
          <w:color w:val="auto"/>
          <w:sz w:val="24"/>
          <w:szCs w:val="24"/>
        </w:rPr>
      </w:pPr>
      <w:r w:rsidRPr="00651677">
        <w:rPr>
          <w:rFonts w:ascii="Times New Roman" w:hAnsi="Times New Roman" w:cs="Times New Roman"/>
          <w:b/>
          <w:color w:val="auto"/>
          <w:sz w:val="24"/>
          <w:szCs w:val="24"/>
          <w:lang w:eastAsia="es-ES"/>
        </w:rPr>
        <w:t xml:space="preserve">2.1. </w:t>
      </w:r>
      <w:r w:rsidR="00495997" w:rsidRPr="00651677">
        <w:rPr>
          <w:rFonts w:ascii="Times New Roman" w:hAnsi="Times New Roman" w:cs="Times New Roman"/>
          <w:b/>
          <w:color w:val="auto"/>
          <w:sz w:val="24"/>
          <w:szCs w:val="24"/>
          <w:lang w:val="es-ES_tradnl"/>
        </w:rPr>
        <w:t>La industria petrolera en el año 2100 como sector en constante evolución hacia prácticas más sostenibles y respetuosas con el medio ambiente</w:t>
      </w:r>
      <w:r w:rsidR="00495997" w:rsidRPr="00651677">
        <w:rPr>
          <w:rFonts w:ascii="Times New Roman" w:hAnsi="Times New Roman" w:cs="Times New Roman"/>
          <w:b/>
          <w:color w:val="auto"/>
          <w:sz w:val="24"/>
          <w:szCs w:val="24"/>
        </w:rPr>
        <w:t xml:space="preserve"> </w:t>
      </w:r>
    </w:p>
    <w:p w:rsidR="00007900" w:rsidRPr="00651677" w:rsidRDefault="00007900"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Hacia finales de 2100, la humanidad habrá experimentado un cambio radical en la forma en que utiliza los recursos naturales, en particular en la industria petrolera y su impacto en el medio ambiente. La innovación y la originalidad serán clave en esta visión científica del futuro, con avances tecnológicos y prácticas sostenibles que transformarán por completo la forma en que el petróleo y sus derivados se utilizan y gestionan.</w:t>
      </w:r>
    </w:p>
    <w:p w:rsidR="00007900" w:rsidRPr="00651677" w:rsidRDefault="00007900"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En esta visión, se habrá logrado desarrollar tecnologías avanzadas para el reciclaje y reutilización de cortes de perforación contaminados con diésel. Estos residuos se habrán convertido en materias primas para la producción de materiales de pavimentación sostenibles, contribuyendo así a la reducción de desechos y la disminución de la dependencia de materiales no renovables.</w:t>
      </w:r>
    </w:p>
    <w:p w:rsidR="00DF6AFF" w:rsidRPr="00651677" w:rsidRDefault="00007900" w:rsidP="00651677">
      <w:pPr>
        <w:spacing w:after="0" w:line="360" w:lineRule="auto"/>
        <w:jc w:val="both"/>
        <w:rPr>
          <w:rFonts w:ascii="Times New Roman" w:hAnsi="Times New Roman" w:cs="Times New Roman"/>
          <w:sz w:val="24"/>
          <w:szCs w:val="24"/>
        </w:rPr>
      </w:pPr>
      <w:r w:rsidRPr="00651677">
        <w:rPr>
          <w:rFonts w:ascii="Times New Roman" w:eastAsia="Times New Roman" w:hAnsi="Times New Roman" w:cs="Times New Roman"/>
          <w:sz w:val="24"/>
          <w:szCs w:val="24"/>
          <w:lang w:val="es-US" w:eastAsia="es-ES"/>
        </w:rPr>
        <w:lastRenderedPageBreak/>
        <w:t xml:space="preserve">Además, la industria petrolera habrá evolucionado hacia una dominancia de </w:t>
      </w:r>
      <w:r w:rsidR="00DF6AFF" w:rsidRPr="00651677">
        <w:rPr>
          <w:rFonts w:ascii="Times New Roman" w:eastAsia="Times New Roman" w:hAnsi="Times New Roman" w:cs="Times New Roman"/>
          <w:sz w:val="24"/>
          <w:szCs w:val="24"/>
          <w:lang w:val="es-US" w:eastAsia="es-ES"/>
        </w:rPr>
        <w:t>tecnologías limpias</w:t>
      </w:r>
      <w:r w:rsidR="00767BD2" w:rsidRPr="00651677">
        <w:rPr>
          <w:rFonts w:ascii="Times New Roman" w:eastAsia="Times New Roman" w:hAnsi="Times New Roman" w:cs="Times New Roman"/>
          <w:sz w:val="24"/>
          <w:szCs w:val="24"/>
          <w:lang w:val="es-US" w:eastAsia="es-ES"/>
        </w:rPr>
        <w:t>,</w:t>
      </w:r>
      <w:r w:rsidR="00DF6AFF" w:rsidRPr="00651677">
        <w:rPr>
          <w:rFonts w:ascii="Times New Roman" w:eastAsia="Times New Roman" w:hAnsi="Times New Roman" w:cs="Times New Roman"/>
          <w:sz w:val="24"/>
          <w:szCs w:val="24"/>
          <w:lang w:val="es-US" w:eastAsia="es-ES"/>
        </w:rPr>
        <w:t xml:space="preserve"> las cuales </w:t>
      </w:r>
      <w:r w:rsidR="00DF6AFF" w:rsidRPr="00651677">
        <w:rPr>
          <w:rFonts w:ascii="Times New Roman" w:hAnsi="Times New Roman" w:cs="Times New Roman"/>
          <w:sz w:val="24"/>
          <w:szCs w:val="24"/>
        </w:rPr>
        <w:t xml:space="preserve">se alinearán hacia la optimización de la eficiencia energética en sus operaciones, utilizando tecnologías avanzadas para minimizar el consumo de energía y maximizar la producción de petróleo de manera sostenible. También, se </w:t>
      </w:r>
      <w:r w:rsidR="00767BD2" w:rsidRPr="00651677">
        <w:rPr>
          <w:rFonts w:ascii="Times New Roman" w:hAnsi="Times New Roman" w:cs="Times New Roman"/>
          <w:sz w:val="24"/>
          <w:szCs w:val="24"/>
        </w:rPr>
        <w:t>invertirá</w:t>
      </w:r>
      <w:r w:rsidR="00DF6AFF" w:rsidRPr="00651677">
        <w:rPr>
          <w:rFonts w:ascii="Times New Roman" w:hAnsi="Times New Roman" w:cs="Times New Roman"/>
          <w:sz w:val="24"/>
          <w:szCs w:val="24"/>
        </w:rPr>
        <w:t xml:space="preserve"> en la exploración y perfeccionamiento de nuevas tecnologías, como la bioenergía, la electrificación de equipos y la producción de biocombustibles, con el objetivo de diversificar su cartera energética y avanzar hacia un futuro más sostenible.</w:t>
      </w:r>
    </w:p>
    <w:p w:rsidR="00007900" w:rsidRPr="00651677" w:rsidRDefault="00007900"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A nivel global, la humanidad habrá alcanzado un equilibrio delicado entre el desarrollo económico y la conservación ambiental tanto</w:t>
      </w:r>
      <w:r w:rsidR="00DF6AFF" w:rsidRPr="00651677">
        <w:rPr>
          <w:rFonts w:ascii="Times New Roman" w:eastAsia="Times New Roman" w:hAnsi="Times New Roman" w:cs="Times New Roman"/>
          <w:sz w:val="24"/>
          <w:szCs w:val="24"/>
          <w:lang w:val="es-US" w:eastAsia="es-ES"/>
        </w:rPr>
        <w:t xml:space="preserve"> en</w:t>
      </w:r>
      <w:r w:rsidRPr="00651677">
        <w:rPr>
          <w:rFonts w:ascii="Times New Roman" w:eastAsia="Times New Roman" w:hAnsi="Times New Roman" w:cs="Times New Roman"/>
          <w:sz w:val="24"/>
          <w:szCs w:val="24"/>
          <w:lang w:val="es-US" w:eastAsia="es-ES"/>
        </w:rPr>
        <w:t xml:space="preserve"> los países desarrollados como los que están en vías de desarrollo. La innovación científica habrá permitido la restauración de ecosistemas dañados, la pr</w:t>
      </w:r>
      <w:r w:rsidR="003B7423" w:rsidRPr="00651677">
        <w:rPr>
          <w:rFonts w:ascii="Times New Roman" w:eastAsia="Times New Roman" w:hAnsi="Times New Roman" w:cs="Times New Roman"/>
          <w:sz w:val="24"/>
          <w:szCs w:val="24"/>
          <w:lang w:val="es-US" w:eastAsia="es-ES"/>
        </w:rPr>
        <w:t>eservación de la biodiversidad, la</w:t>
      </w:r>
      <w:r w:rsidRPr="00651677">
        <w:rPr>
          <w:rFonts w:ascii="Times New Roman" w:eastAsia="Times New Roman" w:hAnsi="Times New Roman" w:cs="Times New Roman"/>
          <w:sz w:val="24"/>
          <w:szCs w:val="24"/>
          <w:lang w:val="es-US" w:eastAsia="es-ES"/>
        </w:rPr>
        <w:t xml:space="preserve"> adaptación a los efectos del cambio climático</w:t>
      </w:r>
      <w:r w:rsidR="003B7423" w:rsidRPr="00651677">
        <w:rPr>
          <w:rFonts w:ascii="Times New Roman" w:eastAsia="Times New Roman" w:hAnsi="Times New Roman" w:cs="Times New Roman"/>
          <w:sz w:val="24"/>
          <w:szCs w:val="24"/>
          <w:lang w:val="es-US" w:eastAsia="es-ES"/>
        </w:rPr>
        <w:t xml:space="preserve"> y el cese de los conflictos internacional</w:t>
      </w:r>
      <w:r w:rsidR="00767BD2" w:rsidRPr="00651677">
        <w:rPr>
          <w:rFonts w:ascii="Times New Roman" w:eastAsia="Times New Roman" w:hAnsi="Times New Roman" w:cs="Times New Roman"/>
          <w:sz w:val="24"/>
          <w:szCs w:val="24"/>
          <w:lang w:val="es-US" w:eastAsia="es-ES"/>
        </w:rPr>
        <w:t>es</w:t>
      </w:r>
      <w:r w:rsidR="003B7423" w:rsidRPr="00651677">
        <w:rPr>
          <w:rFonts w:ascii="Times New Roman" w:eastAsia="Times New Roman" w:hAnsi="Times New Roman" w:cs="Times New Roman"/>
          <w:sz w:val="24"/>
          <w:szCs w:val="24"/>
          <w:lang w:val="es-US" w:eastAsia="es-ES"/>
        </w:rPr>
        <w:t xml:space="preserve"> por los preciados recursos naturales</w:t>
      </w:r>
      <w:r w:rsidRPr="00651677">
        <w:rPr>
          <w:rFonts w:ascii="Times New Roman" w:eastAsia="Times New Roman" w:hAnsi="Times New Roman" w:cs="Times New Roman"/>
          <w:sz w:val="24"/>
          <w:szCs w:val="24"/>
          <w:lang w:val="es-US" w:eastAsia="es-ES"/>
        </w:rPr>
        <w:t>. Se habrá desarrollado tecnologías avanzadas para la gestión sostenible del agua, la reducción de la contaminación del aire y la optimización de la producción de alimentos para una población mundial en crecimiento.</w:t>
      </w:r>
    </w:p>
    <w:p w:rsidR="004F576C" w:rsidRPr="00651677" w:rsidRDefault="00767BD2"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hAnsi="Times New Roman" w:cs="Times New Roman"/>
          <w:sz w:val="24"/>
          <w:szCs w:val="24"/>
        </w:rPr>
        <w:t>A medida que nos acercamos a este futuro</w:t>
      </w:r>
      <w:r w:rsidRPr="00651677">
        <w:rPr>
          <w:rFonts w:ascii="Times New Roman" w:eastAsia="Times New Roman" w:hAnsi="Times New Roman" w:cs="Times New Roman"/>
          <w:sz w:val="24"/>
          <w:szCs w:val="24"/>
          <w:lang w:val="es-US" w:eastAsia="es-ES"/>
        </w:rPr>
        <w:t xml:space="preserve">, esta visión </w:t>
      </w:r>
      <w:r w:rsidR="003B7423" w:rsidRPr="00651677">
        <w:rPr>
          <w:rFonts w:ascii="Times New Roman" w:eastAsia="Times New Roman" w:hAnsi="Times New Roman" w:cs="Times New Roman"/>
          <w:sz w:val="24"/>
          <w:szCs w:val="24"/>
          <w:lang w:val="es-US" w:eastAsia="es-ES"/>
        </w:rPr>
        <w:t>no solo representa un avance significativo en términos de sostenibilidad ambiental, sino que también fortalece la conexión entre la ciencia, la tecnología y la preservación del planeta, generando un impacto sensible en la conciencia colectiva y promoviendo un cambio de paradigma hacia un desarrollo más equitativo y sostenible para la humanidad donde exista oportunidades para todos y las alianzas entre los países estén en su máximo esplendor, donde la guerra y todos los conflictos bélicos hayan acabado, pues lo verdaderamente importante en ese 2100 es la búsqueda de nuevas herramientas para el desarrollo.</w:t>
      </w:r>
    </w:p>
    <w:p w:rsidR="004F576C" w:rsidRPr="00651677" w:rsidRDefault="004F576C" w:rsidP="00651677">
      <w:pPr>
        <w:pStyle w:val="Ttulo2"/>
        <w:spacing w:after="240" w:line="360" w:lineRule="auto"/>
        <w:jc w:val="both"/>
        <w:rPr>
          <w:rFonts w:ascii="Times New Roman" w:hAnsi="Times New Roman" w:cs="Times New Roman"/>
          <w:b/>
          <w:color w:val="auto"/>
          <w:sz w:val="24"/>
          <w:szCs w:val="24"/>
          <w:lang w:eastAsia="es-ES"/>
        </w:rPr>
      </w:pPr>
      <w:r w:rsidRPr="00651677">
        <w:rPr>
          <w:rFonts w:ascii="Times New Roman" w:hAnsi="Times New Roman" w:cs="Times New Roman"/>
          <w:b/>
          <w:color w:val="auto"/>
          <w:sz w:val="24"/>
          <w:szCs w:val="24"/>
          <w:lang w:eastAsia="es-ES"/>
        </w:rPr>
        <w:t xml:space="preserve">2.2. </w:t>
      </w:r>
      <w:r w:rsidR="00495997" w:rsidRPr="00651677">
        <w:rPr>
          <w:rFonts w:ascii="Times New Roman" w:hAnsi="Times New Roman" w:cs="Times New Roman"/>
          <w:b/>
          <w:color w:val="auto"/>
          <w:sz w:val="24"/>
          <w:szCs w:val="24"/>
          <w:lang w:eastAsia="es-ES"/>
        </w:rPr>
        <w:t>Enfoque científico del fu</w:t>
      </w:r>
      <w:r w:rsidR="00007900" w:rsidRPr="00651677">
        <w:rPr>
          <w:rFonts w:ascii="Times New Roman" w:hAnsi="Times New Roman" w:cs="Times New Roman"/>
          <w:b/>
          <w:color w:val="auto"/>
          <w:sz w:val="24"/>
          <w:szCs w:val="24"/>
          <w:lang w:eastAsia="es-ES"/>
        </w:rPr>
        <w:t xml:space="preserve">turo </w:t>
      </w:r>
      <w:r w:rsidR="00495997" w:rsidRPr="00651677">
        <w:rPr>
          <w:rFonts w:ascii="Times New Roman" w:hAnsi="Times New Roman" w:cs="Times New Roman"/>
          <w:b/>
          <w:color w:val="auto"/>
          <w:sz w:val="24"/>
          <w:szCs w:val="24"/>
          <w:lang w:eastAsia="es-ES"/>
        </w:rPr>
        <w:t xml:space="preserve">de la alternativa de reúso de los cortes de perforación contaminados con diésel </w:t>
      </w:r>
    </w:p>
    <w:p w:rsidR="004F576C" w:rsidRPr="00651677" w:rsidRDefault="004F576C"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En el año 2100, la humanidad habrá alcanzado un punto crucial en el desarrollo sostenible, donde la ciencia y la tecnología se habrán convertido en el pilar fundamental para la preservación del planeta. Una de las propuestas revolucionarias que se vislumbra en esta época es la transformación de residuos de perforación contaminados con diésel en pavimentos sostenibles. Esta visión se basa en una serie de argumentos científicos sólidos presentados en el anterior capítulo que impacta de manera directa en la conciencia ambiental y la economía del país donde se aplique.</w:t>
      </w:r>
    </w:p>
    <w:p w:rsidR="004F576C" w:rsidRPr="00651677" w:rsidRDefault="004F576C"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lastRenderedPageBreak/>
        <w:t xml:space="preserve">La sostenibilidad y el impacto ambiental positivo de los cortes de perforación contaminados con diésel en la fabricación de pavimento </w:t>
      </w:r>
      <w:r w:rsidR="00495997" w:rsidRPr="00651677">
        <w:rPr>
          <w:rFonts w:ascii="Times New Roman" w:eastAsia="Times New Roman" w:hAnsi="Times New Roman" w:cs="Times New Roman"/>
          <w:sz w:val="24"/>
          <w:szCs w:val="24"/>
          <w:lang w:val="es-US" w:eastAsia="es-ES"/>
        </w:rPr>
        <w:t xml:space="preserve">asfáltico </w:t>
      </w:r>
      <w:r w:rsidRPr="00651677">
        <w:rPr>
          <w:rFonts w:ascii="Times New Roman" w:eastAsia="Times New Roman" w:hAnsi="Times New Roman" w:cs="Times New Roman"/>
          <w:sz w:val="24"/>
          <w:szCs w:val="24"/>
          <w:lang w:val="es-US" w:eastAsia="es-ES"/>
        </w:rPr>
        <w:t>son un avance significativo en la ingeniería de materiales y la construcción de infraestructuras. Este innovador enfoque no solo reduce la dependencia de los combustibles fósiles, sino que también disminuye la cantidad de residuos contaminantes que se generan durante la construcción de calles, carreteras y aeropuertos.</w:t>
      </w:r>
    </w:p>
    <w:p w:rsidR="004F576C" w:rsidRPr="00651677" w:rsidRDefault="004F576C"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 xml:space="preserve">La clave de esta novedosa investigación radica en la capacidad de los cortes de perforación contaminados con diésel para formar parte de la matriz </w:t>
      </w:r>
      <w:r w:rsidR="00495997" w:rsidRPr="00651677">
        <w:rPr>
          <w:rFonts w:ascii="Times New Roman" w:eastAsia="Times New Roman" w:hAnsi="Times New Roman" w:cs="Times New Roman"/>
          <w:sz w:val="24"/>
          <w:szCs w:val="24"/>
          <w:lang w:val="es-US" w:eastAsia="es-ES"/>
        </w:rPr>
        <w:t>asfáltica,</w:t>
      </w:r>
      <w:r w:rsidRPr="00651677">
        <w:rPr>
          <w:rFonts w:ascii="Times New Roman" w:eastAsia="Times New Roman" w:hAnsi="Times New Roman" w:cs="Times New Roman"/>
          <w:sz w:val="24"/>
          <w:szCs w:val="24"/>
          <w:lang w:val="es-US" w:eastAsia="es-ES"/>
        </w:rPr>
        <w:t xml:space="preserve"> reduciendo así la cantidad de energía y recursos necesarios para la producción de pavimento. </w:t>
      </w:r>
    </w:p>
    <w:p w:rsidR="00CE1703" w:rsidRPr="00651677" w:rsidRDefault="004F576C" w:rsidP="00651677">
      <w:pPr>
        <w:pStyle w:val="Ttulo2"/>
        <w:spacing w:after="240" w:line="360" w:lineRule="auto"/>
        <w:rPr>
          <w:rFonts w:ascii="Times New Roman" w:eastAsia="Times New Roman" w:hAnsi="Times New Roman" w:cs="Times New Roman"/>
          <w:b/>
          <w:color w:val="auto"/>
          <w:sz w:val="24"/>
          <w:szCs w:val="24"/>
          <w:lang w:val="es-US" w:eastAsia="es-ES"/>
        </w:rPr>
      </w:pPr>
      <w:r w:rsidRPr="00651677">
        <w:rPr>
          <w:rFonts w:ascii="Times New Roman" w:eastAsia="Times New Roman" w:hAnsi="Times New Roman" w:cs="Times New Roman"/>
          <w:b/>
          <w:color w:val="auto"/>
          <w:sz w:val="24"/>
          <w:szCs w:val="24"/>
          <w:lang w:val="es-US" w:eastAsia="es-ES"/>
        </w:rPr>
        <w:t xml:space="preserve">2.2.1. Beneficios futuros del </w:t>
      </w:r>
      <w:r w:rsidRPr="00651677">
        <w:rPr>
          <w:rFonts w:ascii="Times New Roman" w:hAnsi="Times New Roman" w:cs="Times New Roman"/>
          <w:b/>
          <w:color w:val="auto"/>
          <w:sz w:val="24"/>
          <w:szCs w:val="24"/>
        </w:rPr>
        <w:t>uso de cortes de perforación contaminados con diésel en la fabricación de pavimento</w:t>
      </w:r>
    </w:p>
    <w:p w:rsidR="005B7A21" w:rsidRPr="00651677" w:rsidRDefault="00D548B3" w:rsidP="00651677">
      <w:pPr>
        <w:numPr>
          <w:ilvl w:val="0"/>
          <w:numId w:val="14"/>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Neutralización total de las emisiones de carbono:</w:t>
      </w:r>
      <w:r w:rsidRPr="00651677">
        <w:rPr>
          <w:rFonts w:ascii="Times New Roman" w:eastAsia="Times New Roman" w:hAnsi="Times New Roman" w:cs="Times New Roman"/>
          <w:sz w:val="24"/>
          <w:szCs w:val="24"/>
          <w:lang w:val="es-US" w:eastAsia="es-ES"/>
        </w:rPr>
        <w:t xml:space="preserve"> Gracias a la implementación generalizada de esta tecnología, las emisiones de gases de efecto invernadero asociadas a la pavimentación serán eliminadas por completo. Esto contribuirá significativamente a contrarrestar el cambio climático y a mejorar la ca</w:t>
      </w:r>
      <w:r w:rsidRPr="00651677">
        <w:rPr>
          <w:rFonts w:ascii="Times New Roman" w:eastAsia="Times New Roman" w:hAnsi="Times New Roman" w:cs="Times New Roman"/>
          <w:sz w:val="24"/>
          <w:szCs w:val="24"/>
          <w:lang w:val="es-US" w:eastAsia="es-ES"/>
        </w:rPr>
        <w:t>lidad del aire de manera irreversible. Abriendo paso a un futuro donde el aire es puro y el cambio climático es solo un recuerdo lejano.</w:t>
      </w:r>
    </w:p>
    <w:p w:rsidR="005B7A21" w:rsidRPr="00651677" w:rsidRDefault="00D548B3" w:rsidP="00651677">
      <w:pPr>
        <w:numPr>
          <w:ilvl w:val="0"/>
          <w:numId w:val="14"/>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Transformación de residuos contaminantes en recursos valiosos:</w:t>
      </w:r>
      <w:r w:rsidRPr="00651677">
        <w:rPr>
          <w:rFonts w:ascii="Times New Roman" w:eastAsia="Times New Roman" w:hAnsi="Times New Roman" w:cs="Times New Roman"/>
          <w:sz w:val="24"/>
          <w:szCs w:val="24"/>
          <w:lang w:val="es-US" w:eastAsia="es-ES"/>
        </w:rPr>
        <w:t xml:space="preserve"> Los cortes de perforación contaminados con diésel no sol</w:t>
      </w:r>
      <w:r w:rsidRPr="00651677">
        <w:rPr>
          <w:rFonts w:ascii="Times New Roman" w:eastAsia="Times New Roman" w:hAnsi="Times New Roman" w:cs="Times New Roman"/>
          <w:sz w:val="24"/>
          <w:szCs w:val="24"/>
          <w:lang w:val="es-US" w:eastAsia="es-ES"/>
        </w:rPr>
        <w:t>o serán reutilizados en la fabricación de pavimentos asfálticos, sino que también se convertirán en una valiosa fuente de materiales para otras industrias, reduciendo drásticamente la cantidad de desechos que se generan y contribuyendo a un modelo de econo</w:t>
      </w:r>
      <w:r w:rsidRPr="00651677">
        <w:rPr>
          <w:rFonts w:ascii="Times New Roman" w:eastAsia="Times New Roman" w:hAnsi="Times New Roman" w:cs="Times New Roman"/>
          <w:sz w:val="24"/>
          <w:szCs w:val="24"/>
          <w:lang w:val="es-US" w:eastAsia="es-ES"/>
        </w:rPr>
        <w:t>mía circular sostenible.</w:t>
      </w:r>
    </w:p>
    <w:p w:rsidR="005B7A21" w:rsidRPr="00651677" w:rsidRDefault="00D548B3" w:rsidP="00651677">
      <w:pPr>
        <w:numPr>
          <w:ilvl w:val="0"/>
          <w:numId w:val="14"/>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Protección total de los recursos naturales:</w:t>
      </w:r>
      <w:r w:rsidRPr="00651677">
        <w:rPr>
          <w:rFonts w:ascii="Times New Roman" w:eastAsia="Times New Roman" w:hAnsi="Times New Roman" w:cs="Times New Roman"/>
          <w:sz w:val="24"/>
          <w:szCs w:val="24"/>
          <w:lang w:val="es-US" w:eastAsia="es-ES"/>
        </w:rPr>
        <w:t xml:space="preserve"> La reutilización de los cortes de perforación contaminados con diésel será tan eficiente que la demanda de materiales vírgenes se verá reducida a cero, preservando así los recursos natura</w:t>
      </w:r>
      <w:r w:rsidRPr="00651677">
        <w:rPr>
          <w:rFonts w:ascii="Times New Roman" w:eastAsia="Times New Roman" w:hAnsi="Times New Roman" w:cs="Times New Roman"/>
          <w:sz w:val="24"/>
          <w:szCs w:val="24"/>
          <w:lang w:val="es-US" w:eastAsia="es-ES"/>
        </w:rPr>
        <w:t>les garantizando que las generaciones futuras hereden un planeta próspero y lleno de vida.</w:t>
      </w:r>
    </w:p>
    <w:p w:rsidR="00CE1703" w:rsidRPr="00651677" w:rsidRDefault="00D548B3" w:rsidP="00651677">
      <w:pPr>
        <w:numPr>
          <w:ilvl w:val="0"/>
          <w:numId w:val="14"/>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Infraestructuras que resisten el paso del tiempo:</w:t>
      </w:r>
      <w:r w:rsidRPr="00651677">
        <w:rPr>
          <w:rFonts w:ascii="Times New Roman" w:eastAsia="Times New Roman" w:hAnsi="Times New Roman" w:cs="Times New Roman"/>
          <w:sz w:val="24"/>
          <w:szCs w:val="24"/>
          <w:lang w:val="es-US" w:eastAsia="es-ES"/>
        </w:rPr>
        <w:t xml:space="preserve"> Los pavimentos asfálticos producidos con cortes de perforación contaminados con diésel serán tan duraderos que las </w:t>
      </w:r>
      <w:r w:rsidRPr="00651677">
        <w:rPr>
          <w:rFonts w:ascii="Times New Roman" w:eastAsia="Times New Roman" w:hAnsi="Times New Roman" w:cs="Times New Roman"/>
          <w:sz w:val="24"/>
          <w:szCs w:val="24"/>
          <w:lang w:val="es-US" w:eastAsia="es-ES"/>
        </w:rPr>
        <w:t>reparaciones y el mantenimiento serán cosas del pasado, contribuyendo a reducir el consumo de recursos y la generación de residuos relacionados con la vida útil de las infraestructuras de manera permanente.</w:t>
      </w:r>
    </w:p>
    <w:p w:rsidR="00CE1703" w:rsidRPr="00651677" w:rsidRDefault="00CE1703" w:rsidP="00651677">
      <w:pPr>
        <w:pStyle w:val="Ttulo2"/>
        <w:spacing w:after="240" w:line="360" w:lineRule="auto"/>
        <w:jc w:val="both"/>
        <w:rPr>
          <w:rFonts w:ascii="Times New Roman" w:eastAsia="Times New Roman" w:hAnsi="Times New Roman" w:cs="Times New Roman"/>
          <w:b/>
          <w:color w:val="auto"/>
          <w:sz w:val="24"/>
          <w:szCs w:val="24"/>
          <w:lang w:val="es-US" w:eastAsia="es-ES"/>
        </w:rPr>
      </w:pPr>
      <w:r w:rsidRPr="00651677">
        <w:rPr>
          <w:rFonts w:ascii="Times New Roman" w:eastAsia="Times New Roman" w:hAnsi="Times New Roman" w:cs="Times New Roman"/>
          <w:b/>
          <w:color w:val="auto"/>
          <w:sz w:val="24"/>
          <w:szCs w:val="24"/>
          <w:lang w:val="es-US" w:eastAsia="es-ES"/>
        </w:rPr>
        <w:lastRenderedPageBreak/>
        <w:t>2.3. Descripción futurista del proceso de la propuesta evaluada utilizando tecnologías avanzadas en el año 2100:</w:t>
      </w:r>
    </w:p>
    <w:p w:rsidR="00CE1703" w:rsidRPr="00651677" w:rsidRDefault="00D548B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Recolecci</w:t>
      </w:r>
      <w:r w:rsidR="00CE1703" w:rsidRPr="00651677">
        <w:rPr>
          <w:rFonts w:ascii="Times New Roman" w:eastAsia="Times New Roman" w:hAnsi="Times New Roman" w:cs="Times New Roman"/>
          <w:sz w:val="24"/>
          <w:szCs w:val="24"/>
          <w:u w:val="single"/>
          <w:lang w:val="es-US" w:eastAsia="es-ES"/>
        </w:rPr>
        <w:t>ón e identificación inteligente:</w:t>
      </w:r>
      <w:r w:rsidRPr="00651677">
        <w:rPr>
          <w:rFonts w:ascii="Times New Roman" w:eastAsia="Times New Roman" w:hAnsi="Times New Roman" w:cs="Times New Roman"/>
          <w:sz w:val="24"/>
          <w:szCs w:val="24"/>
          <w:lang w:val="es-US" w:eastAsia="es-ES"/>
        </w:rPr>
        <w:t xml:space="preserve"> Drones especializados equipados con tecnología de análisis químico avanzado escanearán continuamente las áreas de perforación en busc</w:t>
      </w:r>
      <w:r w:rsidRPr="00651677">
        <w:rPr>
          <w:rFonts w:ascii="Times New Roman" w:eastAsia="Times New Roman" w:hAnsi="Times New Roman" w:cs="Times New Roman"/>
          <w:sz w:val="24"/>
          <w:szCs w:val="24"/>
          <w:lang w:val="es-US" w:eastAsia="es-ES"/>
        </w:rPr>
        <w:t>a de cortes contaminados con diésel. Utilizando algoritmos de inteligencia artificial, los drones identificarán y recopilarán los cortes, asegurando una recolección eficiente y precisa. Estos cortes serán transportados a plantas de procesamiento designadas</w:t>
      </w:r>
      <w:r w:rsidRPr="00651677">
        <w:rPr>
          <w:rFonts w:ascii="Times New Roman" w:eastAsia="Times New Roman" w:hAnsi="Times New Roman" w:cs="Times New Roman"/>
          <w:sz w:val="24"/>
          <w:szCs w:val="24"/>
          <w:lang w:val="es-US" w:eastAsia="es-ES"/>
        </w:rPr>
        <w:t xml:space="preserve"> para su tratamiento.</w:t>
      </w:r>
    </w:p>
    <w:p w:rsidR="0009234D" w:rsidRPr="00651677" w:rsidRDefault="00CE170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Nanobots de separación:</w:t>
      </w:r>
      <w:r w:rsidR="00D548B3" w:rsidRPr="00651677">
        <w:rPr>
          <w:rFonts w:ascii="Times New Roman" w:eastAsia="Times New Roman" w:hAnsi="Times New Roman" w:cs="Times New Roman"/>
          <w:sz w:val="24"/>
          <w:szCs w:val="24"/>
          <w:lang w:val="es-US" w:eastAsia="es-ES"/>
        </w:rPr>
        <w:t xml:space="preserve"> Una vez en la planta de procesamiento, los cortes de perforación serán sometidos a un revolucionario proceso de separación asistido por nanobots. Estos diminutos robots inteligentes detectarán y eliminarán </w:t>
      </w:r>
      <w:r w:rsidRPr="00651677">
        <w:rPr>
          <w:rFonts w:ascii="Times New Roman" w:eastAsia="Times New Roman" w:hAnsi="Times New Roman" w:cs="Times New Roman"/>
          <w:sz w:val="24"/>
          <w:szCs w:val="24"/>
          <w:lang w:val="es-US" w:eastAsia="es-ES"/>
        </w:rPr>
        <w:t>selectivamente materiales</w:t>
      </w:r>
      <w:r w:rsidR="00D548B3" w:rsidRPr="00651677">
        <w:rPr>
          <w:rFonts w:ascii="Times New Roman" w:eastAsia="Times New Roman" w:hAnsi="Times New Roman" w:cs="Times New Roman"/>
          <w:sz w:val="24"/>
          <w:szCs w:val="24"/>
          <w:lang w:val="es-US" w:eastAsia="es-ES"/>
        </w:rPr>
        <w:t xml:space="preserve"> no deseados, como piedras, tierra u otros residuos. El objetivo es obtener un material homogéneo compuesto principalmente por perforaciones y residuos de aceite </w:t>
      </w:r>
      <w:r w:rsidRPr="00651677">
        <w:rPr>
          <w:rFonts w:ascii="Times New Roman" w:eastAsia="Times New Roman" w:hAnsi="Times New Roman" w:cs="Times New Roman"/>
          <w:sz w:val="24"/>
          <w:szCs w:val="24"/>
          <w:lang w:val="es-US" w:eastAsia="es-ES"/>
        </w:rPr>
        <w:t>diésel</w:t>
      </w:r>
      <w:r w:rsidR="00D548B3" w:rsidRPr="00651677">
        <w:rPr>
          <w:rFonts w:ascii="Times New Roman" w:eastAsia="Times New Roman" w:hAnsi="Times New Roman" w:cs="Times New Roman"/>
          <w:sz w:val="24"/>
          <w:szCs w:val="24"/>
          <w:lang w:val="es-US" w:eastAsia="es-ES"/>
        </w:rPr>
        <w:t>.</w:t>
      </w:r>
    </w:p>
    <w:p w:rsidR="00CE1703" w:rsidRPr="00651677" w:rsidRDefault="00CE170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Bio-reparación y rejuvenecimiento:</w:t>
      </w:r>
      <w:r w:rsidRPr="00651677">
        <w:rPr>
          <w:rFonts w:ascii="Times New Roman" w:eastAsia="Times New Roman" w:hAnsi="Times New Roman" w:cs="Times New Roman"/>
          <w:sz w:val="24"/>
          <w:szCs w:val="24"/>
          <w:lang w:val="es-US" w:eastAsia="es-ES"/>
        </w:rPr>
        <w:t xml:space="preserve"> Posteriormente, utilizando biotecnología de vanguardia, se emplearán microorganismos diseñados genéticamente para reparar y reducir el contenido de diésel. Estos microorganismos ayudarán a descomponer cualquier residuo restante y a fortalecer la estructura del material para su uso posterior en la fabricación de pavimentos. Esto garantizará que el material resultante cumpla con los estándares ambientales y de seguridad para su uso en la fabricación de pavimentos asfálticos.</w:t>
      </w:r>
    </w:p>
    <w:p w:rsidR="00CE1703" w:rsidRPr="00651677" w:rsidRDefault="00D548B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Fabricación de asfalto adaptable</w:t>
      </w:r>
      <w:r w:rsidR="00CE1703" w:rsidRPr="00651677">
        <w:rPr>
          <w:rFonts w:ascii="Times New Roman" w:eastAsia="Times New Roman" w:hAnsi="Times New Roman" w:cs="Times New Roman"/>
          <w:sz w:val="24"/>
          <w:szCs w:val="24"/>
          <w:u w:val="single"/>
          <w:lang w:val="es-US" w:eastAsia="es-ES"/>
        </w:rPr>
        <w:t>:</w:t>
      </w:r>
      <w:r w:rsidRPr="00651677">
        <w:rPr>
          <w:rFonts w:ascii="Times New Roman" w:eastAsia="Times New Roman" w:hAnsi="Times New Roman" w:cs="Times New Roman"/>
          <w:sz w:val="24"/>
          <w:szCs w:val="24"/>
          <w:lang w:val="es-US" w:eastAsia="es-ES"/>
        </w:rPr>
        <w:t xml:space="preserve"> La inteligencia artificial col</w:t>
      </w:r>
      <w:r w:rsidRPr="00651677">
        <w:rPr>
          <w:rFonts w:ascii="Times New Roman" w:eastAsia="Times New Roman" w:hAnsi="Times New Roman" w:cs="Times New Roman"/>
          <w:sz w:val="24"/>
          <w:szCs w:val="24"/>
          <w:lang w:val="es-US" w:eastAsia="es-ES"/>
        </w:rPr>
        <w:t>aborativa en las plantas de fabricación de asfalto controlará cada etapa del proceso. Los algoritmos de aprendizaje automático ajustarán la composición de los ligantes, agregados y cortes procesados para adaptarse a las condiciones específicas de cada proy</w:t>
      </w:r>
      <w:r w:rsidRPr="00651677">
        <w:rPr>
          <w:rFonts w:ascii="Times New Roman" w:eastAsia="Times New Roman" w:hAnsi="Times New Roman" w:cs="Times New Roman"/>
          <w:sz w:val="24"/>
          <w:szCs w:val="24"/>
          <w:lang w:val="es-US" w:eastAsia="es-ES"/>
        </w:rPr>
        <w:t>ecto, asegurando un pavimento asfáltico optimizado para su entorno.</w:t>
      </w:r>
      <w:r w:rsidR="00CE1703" w:rsidRPr="00651677">
        <w:rPr>
          <w:rFonts w:ascii="Times New Roman" w:eastAsia="Times New Roman" w:hAnsi="Times New Roman" w:cs="Times New Roman"/>
          <w:sz w:val="24"/>
          <w:szCs w:val="24"/>
          <w:lang w:val="es-US" w:eastAsia="es-ES"/>
        </w:rPr>
        <w:t xml:space="preserve"> Los ligantes podrán ser obtenidos a partir de fuentes alternativas sostenibles, como polímeros reciclados o bio-bitumen, lo que potenciará aún más la sostenibilidad del proceso.</w:t>
      </w:r>
    </w:p>
    <w:p w:rsidR="0009234D" w:rsidRPr="00651677" w:rsidRDefault="00CE170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Impresión 3D de pavimentos:</w:t>
      </w:r>
      <w:r w:rsidRPr="00651677">
        <w:rPr>
          <w:rFonts w:ascii="Times New Roman" w:eastAsia="Times New Roman" w:hAnsi="Times New Roman" w:cs="Times New Roman"/>
          <w:sz w:val="24"/>
          <w:szCs w:val="24"/>
          <w:lang w:val="es-US" w:eastAsia="es-ES"/>
        </w:rPr>
        <w:t xml:space="preserve"> </w:t>
      </w:r>
      <w:r w:rsidR="00D548B3" w:rsidRPr="00651677">
        <w:rPr>
          <w:rFonts w:ascii="Times New Roman" w:eastAsia="Times New Roman" w:hAnsi="Times New Roman" w:cs="Times New Roman"/>
          <w:sz w:val="24"/>
          <w:szCs w:val="24"/>
          <w:lang w:val="es-US" w:eastAsia="es-ES"/>
        </w:rPr>
        <w:t>Con la llegada de la impresión 3D a gran escala, las empresas de construcción utilizarán impresoras gigantes robotizadas para colocar capas de pavimento asfáltico directamente en el sitio. Estas impresoras, controladas por sistemas de int</w:t>
      </w:r>
      <w:r w:rsidR="00D548B3" w:rsidRPr="00651677">
        <w:rPr>
          <w:rFonts w:ascii="Times New Roman" w:eastAsia="Times New Roman" w:hAnsi="Times New Roman" w:cs="Times New Roman"/>
          <w:sz w:val="24"/>
          <w:szCs w:val="24"/>
          <w:lang w:val="es-US" w:eastAsia="es-ES"/>
        </w:rPr>
        <w:t xml:space="preserve">eligencia artificial, garantizarán una aplicación precisa y eficiente del asfalto, reduciendo al mínimo los residuos, optimizando el uso de materiales y </w:t>
      </w:r>
      <w:r w:rsidR="00D548B3" w:rsidRPr="00651677">
        <w:rPr>
          <w:rFonts w:ascii="Times New Roman" w:eastAsia="Times New Roman" w:hAnsi="Times New Roman" w:cs="Times New Roman"/>
          <w:sz w:val="24"/>
          <w:szCs w:val="24"/>
          <w:lang w:val="es-US" w:eastAsia="es-ES"/>
        </w:rPr>
        <w:lastRenderedPageBreak/>
        <w:t>estarán equipadas con sistemas de control de emisiones para minimizar cualquier impacto ambiental negat</w:t>
      </w:r>
      <w:r w:rsidR="00D548B3" w:rsidRPr="00651677">
        <w:rPr>
          <w:rFonts w:ascii="Times New Roman" w:eastAsia="Times New Roman" w:hAnsi="Times New Roman" w:cs="Times New Roman"/>
          <w:sz w:val="24"/>
          <w:szCs w:val="24"/>
          <w:lang w:val="es-US" w:eastAsia="es-ES"/>
        </w:rPr>
        <w:t>ivo.</w:t>
      </w:r>
    </w:p>
    <w:p w:rsidR="0009234D" w:rsidRPr="00651677" w:rsidRDefault="00CE1703" w:rsidP="00651677">
      <w:pPr>
        <w:numPr>
          <w:ilvl w:val="0"/>
          <w:numId w:val="13"/>
        </w:num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u w:val="single"/>
          <w:lang w:val="es-US" w:eastAsia="es-ES"/>
        </w:rPr>
        <w:t>Mantenimiento predictivo:</w:t>
      </w:r>
      <w:r w:rsidRPr="00651677">
        <w:rPr>
          <w:rFonts w:ascii="Times New Roman" w:eastAsia="Times New Roman" w:hAnsi="Times New Roman" w:cs="Times New Roman"/>
          <w:sz w:val="24"/>
          <w:szCs w:val="24"/>
          <w:lang w:val="es-US" w:eastAsia="es-ES"/>
        </w:rPr>
        <w:t xml:space="preserve"> Una vez terminada la construcción, la inteligencia artificial supervisará continuamente el pavimento, utilizando sensores integrados para monitorear su estado y detectar cualquier necesidad de mantenimiento. Los algoritmos predictivos calcularán el momento óptimo para realizar intervenciones, asegurando la durabilidad y eficiencia del pavimento a lo largo del tiempo.</w:t>
      </w:r>
    </w:p>
    <w:p w:rsidR="00007900" w:rsidRPr="00651677" w:rsidRDefault="00D548B3" w:rsidP="00651677">
      <w:pPr>
        <w:spacing w:after="0" w:line="360" w:lineRule="auto"/>
        <w:jc w:val="both"/>
        <w:rPr>
          <w:rFonts w:ascii="Times New Roman" w:eastAsia="Times New Roman" w:hAnsi="Times New Roman" w:cs="Times New Roman"/>
          <w:sz w:val="24"/>
          <w:szCs w:val="24"/>
          <w:lang w:val="es-US" w:eastAsia="es-ES"/>
        </w:rPr>
      </w:pPr>
      <w:r w:rsidRPr="00651677">
        <w:rPr>
          <w:rFonts w:ascii="Times New Roman" w:eastAsia="Times New Roman" w:hAnsi="Times New Roman" w:cs="Times New Roman"/>
          <w:sz w:val="24"/>
          <w:szCs w:val="24"/>
          <w:lang w:val="es-US" w:eastAsia="es-ES"/>
        </w:rPr>
        <w:t>Este proceso describe una cadena de suministro completa que convierte</w:t>
      </w:r>
      <w:r w:rsidR="00CE1703" w:rsidRPr="00651677">
        <w:rPr>
          <w:rFonts w:ascii="Times New Roman" w:eastAsia="Times New Roman" w:hAnsi="Times New Roman" w:cs="Times New Roman"/>
          <w:sz w:val="24"/>
          <w:szCs w:val="24"/>
          <w:lang w:val="es-US" w:eastAsia="es-ES"/>
        </w:rPr>
        <w:t xml:space="preserve"> a</w:t>
      </w:r>
      <w:r w:rsidRPr="00651677">
        <w:rPr>
          <w:rFonts w:ascii="Times New Roman" w:eastAsia="Times New Roman" w:hAnsi="Times New Roman" w:cs="Times New Roman"/>
          <w:sz w:val="24"/>
          <w:szCs w:val="24"/>
          <w:lang w:val="es-US" w:eastAsia="es-ES"/>
        </w:rPr>
        <w:t xml:space="preserve"> los cortes de perforación contaminados </w:t>
      </w:r>
      <w:r w:rsidRPr="00651677">
        <w:rPr>
          <w:rFonts w:ascii="Times New Roman" w:eastAsia="Times New Roman" w:hAnsi="Times New Roman" w:cs="Times New Roman"/>
          <w:sz w:val="24"/>
          <w:szCs w:val="24"/>
          <w:lang w:val="es-US" w:eastAsia="es-ES"/>
        </w:rPr>
        <w:t xml:space="preserve">con </w:t>
      </w:r>
      <w:r w:rsidR="00CE1703" w:rsidRPr="00651677">
        <w:rPr>
          <w:rFonts w:ascii="Times New Roman" w:eastAsia="Times New Roman" w:hAnsi="Times New Roman" w:cs="Times New Roman"/>
          <w:sz w:val="24"/>
          <w:szCs w:val="24"/>
          <w:lang w:val="es-US" w:eastAsia="es-ES"/>
        </w:rPr>
        <w:t>diésel</w:t>
      </w:r>
      <w:r w:rsidRPr="00651677">
        <w:rPr>
          <w:rFonts w:ascii="Times New Roman" w:eastAsia="Times New Roman" w:hAnsi="Times New Roman" w:cs="Times New Roman"/>
          <w:sz w:val="24"/>
          <w:szCs w:val="24"/>
          <w:lang w:val="es-US" w:eastAsia="es-ES"/>
        </w:rPr>
        <w:t xml:space="preserve"> en un recurso valioso y sostenible para la fabricación de pavimentos asfálticos en el año 2100. </w:t>
      </w:r>
      <w:r w:rsidR="00CE1703" w:rsidRPr="00651677">
        <w:rPr>
          <w:rFonts w:ascii="Times New Roman" w:eastAsia="Times New Roman" w:hAnsi="Times New Roman" w:cs="Times New Roman"/>
          <w:sz w:val="24"/>
          <w:szCs w:val="24"/>
          <w:lang w:val="es-US" w:eastAsia="es-ES"/>
        </w:rPr>
        <w:t>Este enfoque representa un futuro cautivador donde las tecnologías avanzadas y la inteligencia artificial se unen para transformar por completo el tratamiento y utilización de cortes de perforación contaminados con diésel.</w:t>
      </w:r>
    </w:p>
    <w:p w:rsidR="00007900" w:rsidRPr="00651677" w:rsidRDefault="00007900" w:rsidP="00651677">
      <w:pPr>
        <w:spacing w:after="0" w:line="360" w:lineRule="auto"/>
        <w:jc w:val="both"/>
        <w:rPr>
          <w:rFonts w:ascii="Times New Roman" w:hAnsi="Times New Roman" w:cs="Times New Roman"/>
          <w:sz w:val="24"/>
          <w:szCs w:val="24"/>
        </w:rPr>
      </w:pPr>
    </w:p>
    <w:p w:rsidR="00007900" w:rsidRPr="00651677" w:rsidRDefault="00007900" w:rsidP="00651677">
      <w:pPr>
        <w:spacing w:after="0" w:line="360" w:lineRule="auto"/>
        <w:jc w:val="both"/>
        <w:rPr>
          <w:rFonts w:ascii="Times New Roman" w:hAnsi="Times New Roman" w:cs="Times New Roman"/>
          <w:sz w:val="24"/>
          <w:szCs w:val="24"/>
        </w:rPr>
      </w:pPr>
    </w:p>
    <w:p w:rsidR="007504D6" w:rsidRPr="00651677" w:rsidRDefault="007504D6" w:rsidP="00651677">
      <w:pPr>
        <w:spacing w:before="240" w:after="0" w:line="360" w:lineRule="auto"/>
        <w:jc w:val="both"/>
        <w:rPr>
          <w:rFonts w:ascii="Times New Roman" w:hAnsi="Times New Roman" w:cs="Times New Roman"/>
          <w:sz w:val="24"/>
          <w:szCs w:val="24"/>
          <w:lang w:eastAsia="es-ES"/>
        </w:rPr>
      </w:pPr>
    </w:p>
    <w:p w:rsidR="00074E64" w:rsidRPr="00651677" w:rsidRDefault="00074E64" w:rsidP="00651677">
      <w:pPr>
        <w:spacing w:before="240" w:after="0" w:line="360" w:lineRule="auto"/>
        <w:jc w:val="both"/>
        <w:rPr>
          <w:rFonts w:ascii="Times New Roman" w:hAnsi="Times New Roman" w:cs="Times New Roman"/>
          <w:sz w:val="24"/>
          <w:szCs w:val="24"/>
          <w:lang w:eastAsia="es-ES"/>
        </w:rPr>
      </w:pPr>
    </w:p>
    <w:p w:rsidR="007504D6" w:rsidRPr="00651677" w:rsidRDefault="007504D6" w:rsidP="00651677">
      <w:pPr>
        <w:spacing w:before="240" w:after="0" w:line="360" w:lineRule="auto"/>
        <w:jc w:val="both"/>
        <w:rPr>
          <w:rFonts w:ascii="Times New Roman" w:hAnsi="Times New Roman" w:cs="Times New Roman"/>
          <w:sz w:val="24"/>
          <w:szCs w:val="24"/>
          <w:lang w:eastAsia="es-ES"/>
        </w:rPr>
      </w:pPr>
    </w:p>
    <w:p w:rsidR="007504D6" w:rsidRPr="00651677" w:rsidRDefault="007504D6" w:rsidP="00651677">
      <w:pPr>
        <w:spacing w:before="240" w:after="0" w:line="360" w:lineRule="auto"/>
        <w:jc w:val="both"/>
        <w:rPr>
          <w:rFonts w:ascii="Times New Roman" w:hAnsi="Times New Roman" w:cs="Times New Roman"/>
          <w:sz w:val="24"/>
          <w:szCs w:val="24"/>
          <w:lang w:eastAsia="es-ES"/>
        </w:rPr>
      </w:pPr>
    </w:p>
    <w:p w:rsidR="007504D6" w:rsidRPr="00651677" w:rsidRDefault="007504D6" w:rsidP="00651677">
      <w:pPr>
        <w:spacing w:before="240" w:after="0" w:line="360" w:lineRule="auto"/>
        <w:jc w:val="both"/>
        <w:rPr>
          <w:rFonts w:ascii="Times New Roman" w:hAnsi="Times New Roman" w:cs="Times New Roman"/>
          <w:sz w:val="24"/>
          <w:szCs w:val="24"/>
          <w:lang w:eastAsia="es-ES"/>
        </w:rPr>
      </w:pPr>
    </w:p>
    <w:p w:rsidR="00074E64" w:rsidRPr="00651677" w:rsidRDefault="00074E64" w:rsidP="00651677">
      <w:pPr>
        <w:spacing w:before="240" w:after="0" w:line="360" w:lineRule="auto"/>
        <w:jc w:val="both"/>
        <w:rPr>
          <w:rFonts w:ascii="Times New Roman" w:hAnsi="Times New Roman" w:cs="Times New Roman"/>
          <w:sz w:val="24"/>
          <w:szCs w:val="24"/>
          <w:lang w:eastAsia="es-ES"/>
        </w:rPr>
      </w:pPr>
    </w:p>
    <w:p w:rsidR="00074E64" w:rsidRPr="00651677" w:rsidRDefault="00074E64" w:rsidP="00651677">
      <w:pPr>
        <w:spacing w:before="240" w:after="0" w:line="360" w:lineRule="auto"/>
        <w:jc w:val="both"/>
        <w:rPr>
          <w:rFonts w:ascii="Times New Roman" w:hAnsi="Times New Roman" w:cs="Times New Roman"/>
          <w:sz w:val="24"/>
          <w:szCs w:val="24"/>
          <w:lang w:eastAsia="es-ES"/>
        </w:rPr>
      </w:pPr>
    </w:p>
    <w:p w:rsidR="00ED2EE0" w:rsidRDefault="00ED2EE0" w:rsidP="00651677">
      <w:pPr>
        <w:spacing w:before="240" w:after="0" w:line="360" w:lineRule="auto"/>
        <w:jc w:val="both"/>
        <w:rPr>
          <w:rFonts w:ascii="Times New Roman" w:hAnsi="Times New Roman" w:cs="Times New Roman"/>
          <w:sz w:val="24"/>
          <w:szCs w:val="24"/>
          <w:lang w:eastAsia="es-ES"/>
        </w:rPr>
      </w:pPr>
    </w:p>
    <w:p w:rsidR="004F4395" w:rsidRDefault="004F4395" w:rsidP="00651677">
      <w:pPr>
        <w:spacing w:before="240" w:after="0" w:line="360" w:lineRule="auto"/>
        <w:jc w:val="both"/>
        <w:rPr>
          <w:rFonts w:ascii="Times New Roman" w:hAnsi="Times New Roman" w:cs="Times New Roman"/>
          <w:sz w:val="24"/>
          <w:szCs w:val="24"/>
          <w:lang w:eastAsia="es-ES"/>
        </w:rPr>
      </w:pPr>
    </w:p>
    <w:p w:rsidR="004F4395" w:rsidRDefault="004F4395" w:rsidP="00651677">
      <w:pPr>
        <w:spacing w:before="240" w:after="0" w:line="360" w:lineRule="auto"/>
        <w:jc w:val="both"/>
        <w:rPr>
          <w:rFonts w:ascii="Times New Roman" w:hAnsi="Times New Roman" w:cs="Times New Roman"/>
          <w:sz w:val="24"/>
          <w:szCs w:val="24"/>
          <w:lang w:eastAsia="es-ES"/>
        </w:rPr>
      </w:pPr>
    </w:p>
    <w:p w:rsidR="004F4395" w:rsidRPr="00651677" w:rsidRDefault="004F4395" w:rsidP="00651677">
      <w:pPr>
        <w:spacing w:before="240" w:after="0" w:line="360" w:lineRule="auto"/>
        <w:jc w:val="both"/>
        <w:rPr>
          <w:rFonts w:ascii="Times New Roman" w:hAnsi="Times New Roman" w:cs="Times New Roman"/>
          <w:sz w:val="24"/>
          <w:szCs w:val="24"/>
          <w:lang w:eastAsia="es-ES"/>
        </w:rPr>
      </w:pPr>
    </w:p>
    <w:p w:rsidR="00D539C8" w:rsidRPr="00651677" w:rsidRDefault="00D539C8" w:rsidP="00651677">
      <w:pPr>
        <w:pStyle w:val="Ttulo1"/>
        <w:spacing w:before="0" w:after="160" w:line="360" w:lineRule="auto"/>
        <w:jc w:val="both"/>
        <w:rPr>
          <w:rFonts w:ascii="Times New Roman" w:hAnsi="Times New Roman" w:cs="Times New Roman"/>
          <w:b/>
          <w:color w:val="auto"/>
          <w:sz w:val="24"/>
          <w:szCs w:val="24"/>
          <w:lang w:eastAsia="es-ES"/>
        </w:rPr>
      </w:pPr>
      <w:bookmarkStart w:id="13" w:name="_Toc137102360"/>
      <w:r w:rsidRPr="00651677">
        <w:rPr>
          <w:rFonts w:ascii="Times New Roman" w:hAnsi="Times New Roman" w:cs="Times New Roman"/>
          <w:b/>
          <w:color w:val="auto"/>
          <w:sz w:val="24"/>
          <w:szCs w:val="24"/>
          <w:lang w:eastAsia="es-ES"/>
        </w:rPr>
        <w:lastRenderedPageBreak/>
        <w:t>Conclusiones</w:t>
      </w:r>
      <w:bookmarkEnd w:id="13"/>
      <w:r w:rsidRPr="00651677">
        <w:rPr>
          <w:rFonts w:ascii="Times New Roman" w:hAnsi="Times New Roman" w:cs="Times New Roman"/>
          <w:b/>
          <w:color w:val="auto"/>
          <w:sz w:val="24"/>
          <w:szCs w:val="24"/>
          <w:lang w:eastAsia="es-ES"/>
        </w:rPr>
        <w:t xml:space="preserve"> </w:t>
      </w:r>
    </w:p>
    <w:p w:rsidR="004C14FD" w:rsidRPr="00651677" w:rsidRDefault="00D539C8" w:rsidP="00651677">
      <w:pPr>
        <w:pStyle w:val="Prrafodelista"/>
        <w:numPr>
          <w:ilvl w:val="0"/>
          <w:numId w:val="11"/>
        </w:numPr>
        <w:spacing w:after="0" w:line="360" w:lineRule="auto"/>
        <w:jc w:val="both"/>
        <w:rPr>
          <w:rFonts w:ascii="Times New Roman" w:hAnsi="Times New Roman" w:cs="Times New Roman"/>
          <w:bCs/>
          <w:iCs/>
          <w:color w:val="000000" w:themeColor="text1"/>
          <w:sz w:val="24"/>
          <w:szCs w:val="24"/>
        </w:rPr>
      </w:pPr>
      <w:r w:rsidRPr="00651677">
        <w:rPr>
          <w:rFonts w:ascii="Times New Roman" w:hAnsi="Times New Roman" w:cs="Times New Roman"/>
          <w:bCs/>
          <w:iCs/>
          <w:sz w:val="24"/>
          <w:szCs w:val="24"/>
        </w:rPr>
        <w:t xml:space="preserve">Los cortes de perforación contaminados con </w:t>
      </w:r>
      <w:r w:rsidRPr="00651677">
        <w:rPr>
          <w:rFonts w:ascii="Times New Roman" w:hAnsi="Times New Roman" w:cs="Times New Roman"/>
          <w:bCs/>
          <w:iCs/>
          <w:color w:val="000000" w:themeColor="text1"/>
          <w:sz w:val="24"/>
          <w:szCs w:val="24"/>
        </w:rPr>
        <w:t xml:space="preserve">diésel poseen un contenido de hidrocarburos de 3,2 % y 6,9 % en corte seco y húmedos respectivamente, </w:t>
      </w:r>
      <w:r w:rsidR="004C14FD" w:rsidRPr="00651677">
        <w:rPr>
          <w:rFonts w:ascii="Times New Roman" w:hAnsi="Times New Roman" w:cs="Times New Roman"/>
          <w:sz w:val="24"/>
          <w:szCs w:val="24"/>
          <w:lang w:val="es-ES_tradnl"/>
        </w:rPr>
        <w:t>que supera los límites establecidos para la disposición final, lo que representa un desafío para su manejo sostenible. Sin embargo, se identificó que estos materiales pueden ser utilizados como modificadores de la granulometría del árido, lo que sugiere un potencial para su reutilización en la construcción de infraestructuras viales.</w:t>
      </w:r>
    </w:p>
    <w:p w:rsidR="004C14FD" w:rsidRPr="00651677" w:rsidRDefault="004C14FD" w:rsidP="00651677">
      <w:pPr>
        <w:pStyle w:val="Prrafodelista"/>
        <w:numPr>
          <w:ilvl w:val="0"/>
          <w:numId w:val="11"/>
        </w:numPr>
        <w:spacing w:after="0" w:line="360" w:lineRule="auto"/>
        <w:jc w:val="both"/>
        <w:rPr>
          <w:rFonts w:ascii="Times New Roman" w:hAnsi="Times New Roman" w:cs="Times New Roman"/>
          <w:bCs/>
          <w:iCs/>
          <w:color w:val="000000" w:themeColor="text1"/>
          <w:sz w:val="24"/>
          <w:szCs w:val="24"/>
        </w:rPr>
      </w:pPr>
      <w:r w:rsidRPr="00651677">
        <w:rPr>
          <w:rFonts w:ascii="Times New Roman" w:hAnsi="Times New Roman" w:cs="Times New Roman"/>
          <w:bCs/>
          <w:iCs/>
          <w:color w:val="000000" w:themeColor="text1"/>
          <w:sz w:val="24"/>
          <w:szCs w:val="24"/>
        </w:rPr>
        <w:t xml:space="preserve"> </w:t>
      </w:r>
      <w:r w:rsidR="00D539C8" w:rsidRPr="00651677">
        <w:rPr>
          <w:rFonts w:ascii="Times New Roman" w:hAnsi="Times New Roman" w:cs="Times New Roman"/>
          <w:bCs/>
          <w:iCs/>
          <w:color w:val="000000" w:themeColor="text1"/>
          <w:sz w:val="24"/>
          <w:szCs w:val="24"/>
        </w:rPr>
        <w:t xml:space="preserve">Se </w:t>
      </w:r>
      <w:r w:rsidR="00D539C8" w:rsidRPr="00651677">
        <w:rPr>
          <w:rFonts w:ascii="Times New Roman" w:hAnsi="Times New Roman" w:cs="Times New Roman"/>
          <w:sz w:val="24"/>
          <w:szCs w:val="24"/>
        </w:rPr>
        <w:t>obtuvo una humedad favorable de 9,3 % para la compactación del material como suelo con corte seco</w:t>
      </w:r>
      <w:r w:rsidR="00D539C8" w:rsidRPr="00651677">
        <w:rPr>
          <w:rFonts w:ascii="Times New Roman" w:hAnsi="Times New Roman" w:cs="Times New Roman"/>
          <w:bCs/>
          <w:iCs/>
          <w:color w:val="000000" w:themeColor="text1"/>
          <w:sz w:val="24"/>
          <w:szCs w:val="24"/>
        </w:rPr>
        <w:t xml:space="preserve"> y estabilidad Marshall de 12,41 </w:t>
      </w:r>
      <w:proofErr w:type="spellStart"/>
      <w:r w:rsidR="00D539C8" w:rsidRPr="00651677">
        <w:rPr>
          <w:rFonts w:ascii="Times New Roman" w:hAnsi="Times New Roman" w:cs="Times New Roman"/>
          <w:bCs/>
          <w:iCs/>
          <w:color w:val="000000" w:themeColor="text1"/>
          <w:sz w:val="24"/>
          <w:szCs w:val="24"/>
        </w:rPr>
        <w:t>kN</w:t>
      </w:r>
      <w:proofErr w:type="spellEnd"/>
      <w:r w:rsidR="00D539C8" w:rsidRPr="00651677">
        <w:rPr>
          <w:rFonts w:ascii="Times New Roman" w:hAnsi="Times New Roman" w:cs="Times New Roman"/>
          <w:bCs/>
          <w:iCs/>
          <w:color w:val="000000" w:themeColor="text1"/>
          <w:sz w:val="24"/>
          <w:szCs w:val="24"/>
        </w:rPr>
        <w:t xml:space="preserve"> en la probeta </w:t>
      </w:r>
      <w:r w:rsidR="00D539C8" w:rsidRPr="00651677">
        <w:rPr>
          <w:rFonts w:ascii="Times New Roman" w:hAnsi="Times New Roman" w:cs="Times New Roman"/>
          <w:sz w:val="24"/>
          <w:szCs w:val="24"/>
        </w:rPr>
        <w:t>S</w:t>
      </w:r>
      <w:r w:rsidR="00D539C8" w:rsidRPr="00651677">
        <w:rPr>
          <w:rFonts w:ascii="Times New Roman" w:hAnsi="Times New Roman" w:cs="Times New Roman"/>
          <w:sz w:val="24"/>
          <w:szCs w:val="24"/>
          <w:vertAlign w:val="subscript"/>
        </w:rPr>
        <w:t xml:space="preserve">4 </w:t>
      </w:r>
      <w:r w:rsidR="00D539C8" w:rsidRPr="00651677">
        <w:rPr>
          <w:rFonts w:ascii="Times New Roman" w:hAnsi="Times New Roman" w:cs="Times New Roman"/>
          <w:bCs/>
          <w:iCs/>
          <w:color w:val="000000" w:themeColor="text1"/>
          <w:sz w:val="24"/>
          <w:szCs w:val="24"/>
        </w:rPr>
        <w:t>mostrando</w:t>
      </w:r>
      <w:r w:rsidR="00D539C8" w:rsidRPr="00651677">
        <w:rPr>
          <w:rFonts w:ascii="Times New Roman" w:hAnsi="Times New Roman" w:cs="Times New Roman"/>
          <w:sz w:val="24"/>
          <w:szCs w:val="24"/>
        </w:rPr>
        <w:t xml:space="preserve"> potencialidad </w:t>
      </w:r>
      <w:r w:rsidRPr="00651677">
        <w:rPr>
          <w:rFonts w:ascii="Times New Roman" w:hAnsi="Times New Roman" w:cs="Times New Roman"/>
          <w:sz w:val="24"/>
          <w:szCs w:val="24"/>
          <w:lang w:val="es-ES_tradnl"/>
        </w:rPr>
        <w:t>para su uso como componente parcial en la fabricación de pavimento asfáltico, lo que podría reducir la cantidad</w:t>
      </w:r>
      <w:r w:rsidR="004F4395">
        <w:rPr>
          <w:rFonts w:ascii="Times New Roman" w:hAnsi="Times New Roman" w:cs="Times New Roman"/>
          <w:sz w:val="24"/>
          <w:szCs w:val="24"/>
          <w:lang w:val="es-ES_tradnl"/>
        </w:rPr>
        <w:t xml:space="preserve"> de mezcla de asfalto necesaria, </w:t>
      </w:r>
      <w:r w:rsidR="004F4395" w:rsidRPr="00651677">
        <w:rPr>
          <w:rFonts w:ascii="Times New Roman" w:hAnsi="Times New Roman" w:cs="Times New Roman"/>
          <w:sz w:val="24"/>
          <w:szCs w:val="24"/>
          <w:lang w:val="es-ES_tradnl"/>
        </w:rPr>
        <w:t>por</w:t>
      </w:r>
      <w:r w:rsidR="004F4395">
        <w:rPr>
          <w:rFonts w:ascii="Times New Roman" w:hAnsi="Times New Roman" w:cs="Times New Roman"/>
          <w:sz w:val="24"/>
          <w:szCs w:val="24"/>
          <w:lang w:val="es-ES_tradnl"/>
        </w:rPr>
        <w:t xml:space="preserve"> </w:t>
      </w:r>
      <w:r w:rsidRPr="00651677">
        <w:rPr>
          <w:rFonts w:ascii="Times New Roman" w:hAnsi="Times New Roman" w:cs="Times New Roman"/>
          <w:sz w:val="24"/>
          <w:szCs w:val="24"/>
          <w:lang w:val="es-ES_tradnl"/>
        </w:rPr>
        <w:t>tanto, contribuir a la sostenibilidad del sector de la construcción. Impulsando avances futuros en la gestión sostenible de recursos naturales, incluida la conservación de la biodiversidad, la protección de ecosistemas críticos y la implementación de prácticas agrícolas sostenibles.</w:t>
      </w:r>
    </w:p>
    <w:p w:rsidR="004C14FD" w:rsidRPr="00651677" w:rsidRDefault="00D539C8" w:rsidP="00651677">
      <w:pPr>
        <w:pStyle w:val="Prrafodelista"/>
        <w:numPr>
          <w:ilvl w:val="0"/>
          <w:numId w:val="11"/>
        </w:numPr>
        <w:spacing w:after="0" w:line="360" w:lineRule="auto"/>
        <w:jc w:val="both"/>
        <w:rPr>
          <w:rFonts w:ascii="Times New Roman" w:hAnsi="Times New Roman" w:cs="Times New Roman"/>
          <w:bCs/>
          <w:iCs/>
          <w:color w:val="000000" w:themeColor="text1"/>
          <w:sz w:val="24"/>
          <w:szCs w:val="24"/>
        </w:rPr>
      </w:pPr>
      <w:r w:rsidRPr="00651677">
        <w:rPr>
          <w:rFonts w:ascii="Times New Roman" w:hAnsi="Times New Roman" w:cs="Times New Roman"/>
          <w:bCs/>
          <w:iCs/>
          <w:color w:val="000000" w:themeColor="text1"/>
          <w:sz w:val="24"/>
          <w:szCs w:val="24"/>
        </w:rPr>
        <w:t>Se determinó que tanto el corte seco (Cs</w:t>
      </w:r>
      <w:r w:rsidRPr="00651677">
        <w:rPr>
          <w:rFonts w:ascii="Times New Roman" w:hAnsi="Times New Roman" w:cs="Times New Roman"/>
          <w:bCs/>
          <w:iCs/>
          <w:color w:val="000000" w:themeColor="text1"/>
          <w:sz w:val="24"/>
          <w:szCs w:val="24"/>
          <w:vertAlign w:val="subscript"/>
        </w:rPr>
        <w:t>1</w:t>
      </w:r>
      <w:r w:rsidRPr="00651677">
        <w:rPr>
          <w:rFonts w:ascii="Times New Roman" w:hAnsi="Times New Roman" w:cs="Times New Roman"/>
          <w:bCs/>
          <w:iCs/>
          <w:color w:val="000000" w:themeColor="text1"/>
          <w:sz w:val="24"/>
          <w:szCs w:val="24"/>
        </w:rPr>
        <w:t xml:space="preserve">) como su mezcla con corte húmedo, granalla y árido </w:t>
      </w:r>
      <w:r w:rsidRPr="00651677">
        <w:rPr>
          <w:rFonts w:ascii="Times New Roman" w:hAnsi="Times New Roman" w:cs="Times New Roman"/>
          <w:sz w:val="24"/>
          <w:szCs w:val="24"/>
        </w:rPr>
        <w:t>(SH</w:t>
      </w:r>
      <w:r w:rsidRPr="00651677">
        <w:rPr>
          <w:rFonts w:ascii="Times New Roman" w:hAnsi="Times New Roman" w:cs="Times New Roman"/>
          <w:sz w:val="24"/>
          <w:szCs w:val="24"/>
          <w:vertAlign w:val="subscript"/>
        </w:rPr>
        <w:t>1</w:t>
      </w:r>
      <w:r w:rsidRPr="00651677">
        <w:rPr>
          <w:rFonts w:ascii="Times New Roman" w:hAnsi="Times New Roman" w:cs="Times New Roman"/>
          <w:sz w:val="24"/>
          <w:szCs w:val="24"/>
        </w:rPr>
        <w:t xml:space="preserve"> y SH</w:t>
      </w:r>
      <w:r w:rsidRPr="00651677">
        <w:rPr>
          <w:rFonts w:ascii="Times New Roman" w:hAnsi="Times New Roman" w:cs="Times New Roman"/>
          <w:sz w:val="24"/>
          <w:szCs w:val="24"/>
          <w:vertAlign w:val="subscript"/>
        </w:rPr>
        <w:t>3</w:t>
      </w:r>
      <w:r w:rsidRPr="00651677">
        <w:rPr>
          <w:rFonts w:ascii="Times New Roman" w:hAnsi="Times New Roman" w:cs="Times New Roman"/>
          <w:sz w:val="24"/>
          <w:szCs w:val="24"/>
        </w:rPr>
        <w:t xml:space="preserve">) </w:t>
      </w:r>
      <w:r w:rsidRPr="00651677">
        <w:rPr>
          <w:rFonts w:ascii="Times New Roman" w:hAnsi="Times New Roman" w:cs="Times New Roman"/>
          <w:bCs/>
          <w:iCs/>
          <w:color w:val="000000" w:themeColor="text1"/>
          <w:sz w:val="24"/>
          <w:szCs w:val="24"/>
        </w:rPr>
        <w:t xml:space="preserve">pueden ser </w:t>
      </w:r>
      <w:r w:rsidRPr="00651677">
        <w:rPr>
          <w:rFonts w:ascii="Times New Roman" w:hAnsi="Times New Roman" w:cs="Times New Roman"/>
          <w:sz w:val="24"/>
          <w:szCs w:val="24"/>
        </w:rPr>
        <w:t>empleados como sub-base en carreteras, aeropuertos, caminos de baja intensidad de tráfico y de bajo costo mostrando un índice de CBR de 46 %, 33 % y 32 %, respectivamente.</w:t>
      </w:r>
      <w:r w:rsidR="004C14FD" w:rsidRPr="00651677">
        <w:rPr>
          <w:rFonts w:ascii="Times New Roman" w:hAnsi="Times New Roman" w:cs="Times New Roman"/>
          <w:sz w:val="24"/>
          <w:szCs w:val="24"/>
          <w:lang w:val="es-ES_tradnl"/>
        </w:rPr>
        <w:t xml:space="preserve"> </w:t>
      </w:r>
      <w:r w:rsidR="004C14FD" w:rsidRPr="00651677">
        <w:rPr>
          <w:rFonts w:ascii="Times New Roman" w:hAnsi="Times New Roman" w:cs="Times New Roman"/>
          <w:sz w:val="24"/>
          <w:szCs w:val="24"/>
          <w:lang w:val="es-ES_tradnl"/>
        </w:rPr>
        <w:t>La implementación de enfoques innovadores en la ingeniería civil, como el desarrollo de técnicas de estabilización y refuerzo de suelos, podría mejorar significativamente la resistencia y durabilidad de estos materiales, lo que tendría un impacto positivo en la construcción de infraestructuras resilientes y sostenibles</w:t>
      </w:r>
      <w:r w:rsidR="004C14FD" w:rsidRPr="00651677">
        <w:rPr>
          <w:rFonts w:ascii="Times New Roman" w:hAnsi="Times New Roman" w:cs="Times New Roman"/>
          <w:sz w:val="24"/>
          <w:szCs w:val="24"/>
          <w:lang w:val="es-ES_tradnl"/>
        </w:rPr>
        <w:t xml:space="preserve"> en el futuro</w:t>
      </w:r>
      <w:r w:rsidR="004C14FD" w:rsidRPr="00651677">
        <w:rPr>
          <w:rFonts w:ascii="Times New Roman" w:hAnsi="Times New Roman" w:cs="Times New Roman"/>
          <w:sz w:val="24"/>
          <w:szCs w:val="24"/>
          <w:lang w:val="es-ES_tradnl"/>
        </w:rPr>
        <w:t>.</w:t>
      </w:r>
    </w:p>
    <w:p w:rsidR="00E94268" w:rsidRPr="00952797" w:rsidRDefault="005728DC" w:rsidP="00952797">
      <w:pPr>
        <w:pStyle w:val="Prrafodelista"/>
        <w:numPr>
          <w:ilvl w:val="0"/>
          <w:numId w:val="11"/>
        </w:numPr>
        <w:spacing w:after="0" w:line="360" w:lineRule="auto"/>
        <w:jc w:val="both"/>
        <w:rPr>
          <w:rFonts w:ascii="Times New Roman" w:hAnsi="Times New Roman" w:cs="Times New Roman"/>
          <w:bCs/>
          <w:iCs/>
          <w:color w:val="000000" w:themeColor="text1"/>
          <w:sz w:val="24"/>
          <w:szCs w:val="24"/>
        </w:rPr>
      </w:pPr>
      <w:r w:rsidRPr="00651677">
        <w:rPr>
          <w:rFonts w:ascii="Times New Roman" w:hAnsi="Times New Roman" w:cs="Times New Roman"/>
          <w:sz w:val="24"/>
          <w:szCs w:val="24"/>
        </w:rPr>
        <w:t xml:space="preserve">Los </w:t>
      </w:r>
      <w:r w:rsidR="009B6435" w:rsidRPr="00651677">
        <w:rPr>
          <w:rFonts w:ascii="Times New Roman" w:hAnsi="Times New Roman" w:cs="Times New Roman"/>
          <w:sz w:val="24"/>
          <w:szCs w:val="24"/>
        </w:rPr>
        <w:t xml:space="preserve">cortes de perforación contaminados con </w:t>
      </w:r>
      <w:r w:rsidRPr="00651677">
        <w:rPr>
          <w:rFonts w:ascii="Times New Roman" w:hAnsi="Times New Roman" w:cs="Times New Roman"/>
          <w:sz w:val="24"/>
          <w:szCs w:val="24"/>
        </w:rPr>
        <w:t>diésel</w:t>
      </w:r>
      <w:r w:rsidR="009B6435" w:rsidRPr="00651677">
        <w:rPr>
          <w:rFonts w:ascii="Times New Roman" w:hAnsi="Times New Roman" w:cs="Times New Roman"/>
          <w:sz w:val="24"/>
          <w:szCs w:val="24"/>
        </w:rPr>
        <w:t xml:space="preserve"> representan un avance signifi</w:t>
      </w:r>
      <w:r w:rsidR="004C14FD" w:rsidRPr="00651677">
        <w:rPr>
          <w:rFonts w:ascii="Times New Roman" w:hAnsi="Times New Roman" w:cs="Times New Roman"/>
          <w:sz w:val="24"/>
          <w:szCs w:val="24"/>
        </w:rPr>
        <w:t>cativo en la sostenibilidad y en el</w:t>
      </w:r>
      <w:r w:rsidR="009B6435" w:rsidRPr="00651677">
        <w:rPr>
          <w:rFonts w:ascii="Times New Roman" w:hAnsi="Times New Roman" w:cs="Times New Roman"/>
          <w:sz w:val="24"/>
          <w:szCs w:val="24"/>
        </w:rPr>
        <w:t xml:space="preserve"> impacto ambiental positivo de la fabricación de pavimento. Esta innovadora investigación tiene el potencial de transformar la forma en que se construyen las infraestructuras y sentar las bases para </w:t>
      </w:r>
      <w:r w:rsidR="004C14FD" w:rsidRPr="00651677">
        <w:rPr>
          <w:rFonts w:ascii="Times New Roman" w:hAnsi="Times New Roman" w:cs="Times New Roman"/>
          <w:sz w:val="24"/>
          <w:szCs w:val="24"/>
        </w:rPr>
        <w:t>una</w:t>
      </w:r>
      <w:r w:rsidR="004C14FD" w:rsidRPr="00651677">
        <w:rPr>
          <w:rFonts w:ascii="Times New Roman" w:hAnsi="Times New Roman" w:cs="Times New Roman"/>
          <w:sz w:val="24"/>
          <w:szCs w:val="24"/>
        </w:rPr>
        <w:t xml:space="preserve"> visión futurista de un mundo más sostenible hacia el año 2100.</w:t>
      </w:r>
    </w:p>
    <w:p w:rsidR="00E94268" w:rsidRPr="00651677" w:rsidRDefault="00E94268" w:rsidP="00651677">
      <w:pPr>
        <w:spacing w:line="360" w:lineRule="auto"/>
        <w:rPr>
          <w:rFonts w:ascii="Times New Roman" w:hAnsi="Times New Roman" w:cs="Times New Roman"/>
          <w:sz w:val="24"/>
          <w:szCs w:val="24"/>
          <w:lang w:eastAsia="es-ES"/>
        </w:rPr>
      </w:pPr>
    </w:p>
    <w:p w:rsidR="00E94268" w:rsidRPr="00651677" w:rsidRDefault="00E94268" w:rsidP="00651677">
      <w:pPr>
        <w:spacing w:line="360" w:lineRule="auto"/>
        <w:rPr>
          <w:rFonts w:ascii="Times New Roman" w:hAnsi="Times New Roman" w:cs="Times New Roman"/>
          <w:sz w:val="24"/>
          <w:szCs w:val="24"/>
          <w:lang w:eastAsia="es-ES"/>
        </w:rPr>
      </w:pPr>
    </w:p>
    <w:p w:rsidR="004B1C9F" w:rsidRPr="00651677" w:rsidRDefault="004B1C9F" w:rsidP="00651677">
      <w:pPr>
        <w:pStyle w:val="Ttulo1"/>
        <w:spacing w:before="0" w:after="160" w:line="360" w:lineRule="auto"/>
        <w:jc w:val="both"/>
        <w:rPr>
          <w:rFonts w:ascii="Times New Roman" w:hAnsi="Times New Roman" w:cs="Times New Roman"/>
          <w:b/>
          <w:color w:val="auto"/>
          <w:sz w:val="24"/>
          <w:szCs w:val="24"/>
          <w:lang w:eastAsia="es-ES"/>
        </w:rPr>
      </w:pPr>
      <w:r w:rsidRPr="00651677">
        <w:rPr>
          <w:rFonts w:ascii="Times New Roman" w:hAnsi="Times New Roman" w:cs="Times New Roman"/>
          <w:b/>
          <w:color w:val="auto"/>
          <w:sz w:val="24"/>
          <w:szCs w:val="24"/>
          <w:lang w:eastAsia="es-ES"/>
        </w:rPr>
        <w:lastRenderedPageBreak/>
        <w:t xml:space="preserve">Recomendaciones </w:t>
      </w:r>
    </w:p>
    <w:p w:rsidR="004F72C2" w:rsidRPr="00651677" w:rsidRDefault="004F72C2" w:rsidP="00651677">
      <w:pPr>
        <w:spacing w:after="0" w:line="360" w:lineRule="auto"/>
        <w:jc w:val="both"/>
        <w:rPr>
          <w:rFonts w:ascii="Times New Roman" w:hAnsi="Times New Roman" w:cs="Times New Roman"/>
          <w:sz w:val="24"/>
          <w:szCs w:val="24"/>
          <w:lang w:val="es-US"/>
        </w:rPr>
      </w:pPr>
      <w:r w:rsidRPr="00651677">
        <w:rPr>
          <w:rFonts w:ascii="Times New Roman" w:hAnsi="Times New Roman" w:cs="Times New Roman"/>
          <w:sz w:val="24"/>
          <w:szCs w:val="24"/>
          <w:lang w:val="es-US"/>
        </w:rPr>
        <w:t>1. Llevar a cabo un análisis detallado de las propiedades físicas, químicas y mecánicas de los cortes de perforación contaminados con diésel para comprender completamente su composición y comportamiento. Esto permitirá identificar los desafíos asociados con la toxicidad y la durabilidad del material, así como explorar posibles enfoques futuristas para mitigar los impactos negativos.</w:t>
      </w:r>
    </w:p>
    <w:p w:rsidR="004F72C2" w:rsidRPr="00651677" w:rsidRDefault="004F72C2" w:rsidP="00651677">
      <w:pPr>
        <w:spacing w:after="0" w:line="360" w:lineRule="auto"/>
        <w:jc w:val="both"/>
        <w:rPr>
          <w:rFonts w:ascii="Times New Roman" w:hAnsi="Times New Roman" w:cs="Times New Roman"/>
          <w:sz w:val="24"/>
          <w:szCs w:val="24"/>
          <w:lang w:val="es-US"/>
        </w:rPr>
      </w:pPr>
      <w:r w:rsidRPr="00651677">
        <w:rPr>
          <w:rFonts w:ascii="Times New Roman" w:hAnsi="Times New Roman" w:cs="Times New Roman"/>
          <w:sz w:val="24"/>
          <w:szCs w:val="24"/>
          <w:lang w:val="es-US"/>
        </w:rPr>
        <w:t>2. Investigar y evaluar tecnologías emergentes que puedan ser aplicadas para el tratamiento y reutilización de los cortes de perforación contaminados para la fabricación de pavimento. Esto puede incluir el uso de enfoques innovadores basados en nanotecnología, diseñadas para aislar y neutralizar los compuestos contaminantes presentes en los cortes de perforación, permitiendo que el material resultante sea</w:t>
      </w:r>
      <w:r w:rsidR="002F70AA" w:rsidRPr="00651677">
        <w:rPr>
          <w:rFonts w:ascii="Times New Roman" w:hAnsi="Times New Roman" w:cs="Times New Roman"/>
          <w:sz w:val="24"/>
          <w:szCs w:val="24"/>
          <w:lang w:val="es-US"/>
        </w:rPr>
        <w:t xml:space="preserve"> más viable </w:t>
      </w:r>
      <w:r w:rsidRPr="00651677">
        <w:rPr>
          <w:rFonts w:ascii="Times New Roman" w:hAnsi="Times New Roman" w:cs="Times New Roman"/>
          <w:sz w:val="24"/>
          <w:szCs w:val="24"/>
          <w:lang w:val="es-US"/>
        </w:rPr>
        <w:t>para su uso en pavimentos. Esta solución requeriría de un enfoque altamente innovador y futurista en la aplicación de tecnología a nivel molecular para resolver problemas de contaminación ambiental.</w:t>
      </w:r>
    </w:p>
    <w:p w:rsidR="004F72C2" w:rsidRPr="00651677" w:rsidRDefault="004F72C2" w:rsidP="00651677">
      <w:pPr>
        <w:spacing w:after="0" w:line="360" w:lineRule="auto"/>
        <w:jc w:val="both"/>
        <w:rPr>
          <w:rFonts w:ascii="Times New Roman" w:hAnsi="Times New Roman" w:cs="Times New Roman"/>
          <w:sz w:val="24"/>
          <w:szCs w:val="24"/>
          <w:lang w:val="es-US"/>
        </w:rPr>
      </w:pPr>
      <w:r w:rsidRPr="00651677">
        <w:rPr>
          <w:rFonts w:ascii="Times New Roman" w:hAnsi="Times New Roman" w:cs="Times New Roman"/>
          <w:sz w:val="24"/>
          <w:szCs w:val="24"/>
          <w:lang w:val="es-US"/>
        </w:rPr>
        <w:t xml:space="preserve">3. Aplicar la reingeniería de materiales mediante bioingeniería, en un futuro donde la tecnología bioingenieril esté avanzada, se podría plantear la reingeniería de los cortes de perforación contaminados, utilizando técnicas para degradar y modificar molecularmente los compuestos </w:t>
      </w:r>
      <w:r w:rsidR="00381542" w:rsidRPr="00651677">
        <w:rPr>
          <w:rFonts w:ascii="Times New Roman" w:hAnsi="Times New Roman" w:cs="Times New Roman"/>
          <w:sz w:val="24"/>
          <w:szCs w:val="24"/>
          <w:lang w:val="es-US"/>
        </w:rPr>
        <w:t>tóxicos</w:t>
      </w:r>
      <w:r w:rsidRPr="00651677">
        <w:rPr>
          <w:rFonts w:ascii="Times New Roman" w:hAnsi="Times New Roman" w:cs="Times New Roman"/>
          <w:sz w:val="24"/>
          <w:szCs w:val="24"/>
          <w:lang w:val="es-US"/>
        </w:rPr>
        <w:t xml:space="preserve"> presentes. Estos materiales reingenierados podrían ser empleados en la fabricación de pavimentos más sostenibles y resistentes, los cuales tendrían la capacidad de absorber y neutralizar los contaminantes con sistemas de filtración incorporados. aportando así una solución creativa e innovadora para la utilización de los desechos petroleros.</w:t>
      </w:r>
    </w:p>
    <w:p w:rsidR="004B1C9F" w:rsidRPr="00651677" w:rsidRDefault="004B1C9F" w:rsidP="00651677">
      <w:pPr>
        <w:spacing w:line="360" w:lineRule="auto"/>
        <w:jc w:val="both"/>
        <w:rPr>
          <w:rFonts w:ascii="Times New Roman" w:hAnsi="Times New Roman" w:cs="Times New Roman"/>
          <w:b/>
          <w:sz w:val="24"/>
          <w:szCs w:val="24"/>
          <w:lang w:val="es-ES_tradnl"/>
        </w:rPr>
      </w:pPr>
    </w:p>
    <w:p w:rsidR="00CE1703" w:rsidRPr="00651677" w:rsidRDefault="00CE1703" w:rsidP="00651677">
      <w:pPr>
        <w:spacing w:line="360" w:lineRule="auto"/>
        <w:jc w:val="both"/>
        <w:rPr>
          <w:rFonts w:ascii="Times New Roman" w:hAnsi="Times New Roman" w:cs="Times New Roman"/>
          <w:b/>
          <w:sz w:val="24"/>
          <w:szCs w:val="24"/>
          <w:lang w:val="es-ES_tradnl"/>
        </w:rPr>
      </w:pPr>
    </w:p>
    <w:p w:rsidR="00ED2EE0" w:rsidRPr="00651677" w:rsidRDefault="00ED2EE0" w:rsidP="00651677">
      <w:pPr>
        <w:spacing w:line="360" w:lineRule="auto"/>
        <w:jc w:val="both"/>
        <w:rPr>
          <w:rFonts w:ascii="Times New Roman" w:hAnsi="Times New Roman" w:cs="Times New Roman"/>
          <w:b/>
          <w:sz w:val="24"/>
          <w:szCs w:val="24"/>
          <w:lang w:val="es-ES_tradnl"/>
        </w:rPr>
      </w:pPr>
    </w:p>
    <w:p w:rsidR="00ED2EE0" w:rsidRPr="00651677" w:rsidRDefault="00ED2EE0" w:rsidP="00651677">
      <w:pPr>
        <w:spacing w:line="360" w:lineRule="auto"/>
        <w:jc w:val="both"/>
        <w:rPr>
          <w:rFonts w:ascii="Times New Roman" w:hAnsi="Times New Roman" w:cs="Times New Roman"/>
          <w:b/>
          <w:sz w:val="24"/>
          <w:szCs w:val="24"/>
          <w:lang w:val="es-ES_tradnl"/>
        </w:rPr>
      </w:pPr>
    </w:p>
    <w:p w:rsidR="00ED2EE0" w:rsidRPr="00651677" w:rsidRDefault="00ED2EE0" w:rsidP="00651677">
      <w:pPr>
        <w:spacing w:line="360" w:lineRule="auto"/>
        <w:jc w:val="both"/>
        <w:rPr>
          <w:rFonts w:ascii="Times New Roman" w:hAnsi="Times New Roman" w:cs="Times New Roman"/>
          <w:b/>
          <w:sz w:val="24"/>
          <w:szCs w:val="24"/>
          <w:lang w:val="es-ES_tradnl"/>
        </w:rPr>
      </w:pPr>
    </w:p>
    <w:p w:rsidR="00ED2EE0" w:rsidRPr="00651677" w:rsidRDefault="00ED2EE0" w:rsidP="00651677">
      <w:pPr>
        <w:spacing w:line="360" w:lineRule="auto"/>
        <w:jc w:val="both"/>
        <w:rPr>
          <w:rFonts w:ascii="Times New Roman" w:hAnsi="Times New Roman" w:cs="Times New Roman"/>
          <w:b/>
          <w:sz w:val="24"/>
          <w:szCs w:val="24"/>
          <w:lang w:val="es-ES_tradnl"/>
        </w:rPr>
      </w:pPr>
    </w:p>
    <w:p w:rsidR="00ED2EE0" w:rsidRPr="00651677" w:rsidRDefault="00ED2EE0" w:rsidP="00651677">
      <w:pPr>
        <w:spacing w:line="360" w:lineRule="auto"/>
        <w:jc w:val="both"/>
        <w:rPr>
          <w:rFonts w:ascii="Times New Roman" w:hAnsi="Times New Roman" w:cs="Times New Roman"/>
          <w:b/>
          <w:sz w:val="24"/>
          <w:szCs w:val="24"/>
          <w:lang w:val="es-ES_tradnl"/>
        </w:rPr>
      </w:pPr>
    </w:p>
    <w:p w:rsidR="00E94268" w:rsidRPr="00651677" w:rsidRDefault="00E94268" w:rsidP="00651677">
      <w:pPr>
        <w:spacing w:after="0" w:line="360" w:lineRule="auto"/>
        <w:jc w:val="both"/>
        <w:rPr>
          <w:rFonts w:ascii="Times New Roman" w:hAnsi="Times New Roman" w:cs="Times New Roman"/>
          <w:sz w:val="24"/>
          <w:szCs w:val="24"/>
          <w:lang w:val="en-US"/>
        </w:rPr>
      </w:pPr>
    </w:p>
    <w:p w:rsidR="00E010C6" w:rsidRPr="00651677" w:rsidRDefault="00E010C6" w:rsidP="00651677">
      <w:pPr>
        <w:pStyle w:val="Ttulo1"/>
        <w:spacing w:before="0" w:after="240" w:line="360" w:lineRule="auto"/>
        <w:rPr>
          <w:rFonts w:ascii="Times New Roman" w:hAnsi="Times New Roman" w:cs="Times New Roman"/>
          <w:b/>
          <w:sz w:val="24"/>
          <w:szCs w:val="24"/>
          <w:lang w:val="en-US"/>
        </w:rPr>
      </w:pPr>
      <w:r w:rsidRPr="00651677">
        <w:rPr>
          <w:rFonts w:ascii="Times New Roman" w:hAnsi="Times New Roman" w:cs="Times New Roman"/>
          <w:b/>
          <w:color w:val="auto"/>
          <w:sz w:val="24"/>
          <w:szCs w:val="24"/>
          <w:lang w:val="en-US"/>
        </w:rPr>
        <w:lastRenderedPageBreak/>
        <w:t>Referencias</w:t>
      </w:r>
      <w:r w:rsidRPr="00651677">
        <w:rPr>
          <w:rFonts w:ascii="Times New Roman" w:hAnsi="Times New Roman" w:cs="Times New Roman"/>
          <w:b/>
          <w:sz w:val="24"/>
          <w:szCs w:val="24"/>
          <w:lang w:val="en-US"/>
        </w:rPr>
        <w:t xml:space="preserve"> </w:t>
      </w:r>
    </w:p>
    <w:p w:rsidR="00D539C8" w:rsidRPr="00651677" w:rsidRDefault="00D539C8" w:rsidP="00651677">
      <w:pPr>
        <w:spacing w:after="0" w:line="360" w:lineRule="auto"/>
        <w:jc w:val="both"/>
        <w:rPr>
          <w:rFonts w:ascii="Times New Roman" w:hAnsi="Times New Roman" w:cs="Times New Roman"/>
          <w:sz w:val="24"/>
          <w:szCs w:val="24"/>
          <w:lang w:val="en-US"/>
        </w:rPr>
      </w:pPr>
      <w:r w:rsidRPr="00651677">
        <w:rPr>
          <w:rFonts w:ascii="Times New Roman" w:hAnsi="Times New Roman" w:cs="Times New Roman"/>
          <w:sz w:val="24"/>
          <w:szCs w:val="24"/>
          <w:lang w:val="en-US"/>
        </w:rPr>
        <w:t xml:space="preserve">APHA 5520-D., Standard Methods for the examination of water and </w:t>
      </w:r>
      <w:r w:rsidR="005728DC" w:rsidRPr="00651677">
        <w:rPr>
          <w:rFonts w:ascii="Times New Roman" w:hAnsi="Times New Roman" w:cs="Times New Roman"/>
          <w:sz w:val="24"/>
          <w:szCs w:val="24"/>
          <w:lang w:val="en-US"/>
        </w:rPr>
        <w:t>wastewater,</w:t>
      </w:r>
      <w:r w:rsidRPr="00651677">
        <w:rPr>
          <w:rFonts w:ascii="Times New Roman" w:hAnsi="Times New Roman" w:cs="Times New Roman"/>
          <w:sz w:val="24"/>
          <w:szCs w:val="24"/>
          <w:lang w:val="en-US"/>
        </w:rPr>
        <w:t xml:space="preserve"> in, A.P.H. </w:t>
      </w:r>
      <w:r w:rsidR="005728DC" w:rsidRPr="00651677">
        <w:rPr>
          <w:rFonts w:ascii="Times New Roman" w:hAnsi="Times New Roman" w:cs="Times New Roman"/>
          <w:sz w:val="24"/>
          <w:szCs w:val="24"/>
          <w:lang w:val="en-US"/>
        </w:rPr>
        <w:t>Association</w:t>
      </w:r>
      <w:r w:rsidRPr="00651677">
        <w:rPr>
          <w:rFonts w:ascii="Times New Roman" w:hAnsi="Times New Roman" w:cs="Times New Roman"/>
          <w:sz w:val="24"/>
          <w:szCs w:val="24"/>
          <w:lang w:val="en-US"/>
        </w:rPr>
        <w:t xml:space="preserve">, Editor APHA _AWWA_WEF, 23 </w:t>
      </w:r>
      <w:proofErr w:type="spellStart"/>
      <w:r w:rsidRPr="00651677">
        <w:rPr>
          <w:rFonts w:ascii="Times New Roman" w:hAnsi="Times New Roman" w:cs="Times New Roman"/>
          <w:sz w:val="24"/>
          <w:szCs w:val="24"/>
          <w:lang w:val="en-US"/>
        </w:rPr>
        <w:t>st</w:t>
      </w:r>
      <w:proofErr w:type="spellEnd"/>
      <w:r w:rsidRPr="00651677">
        <w:rPr>
          <w:rFonts w:ascii="Times New Roman" w:hAnsi="Times New Roman" w:cs="Times New Roman"/>
          <w:sz w:val="24"/>
          <w:szCs w:val="24"/>
          <w:lang w:val="en-US"/>
        </w:rPr>
        <w:t xml:space="preserve"> </w:t>
      </w:r>
      <w:proofErr w:type="spellStart"/>
      <w:proofErr w:type="gramStart"/>
      <w:r w:rsidRPr="00651677">
        <w:rPr>
          <w:rFonts w:ascii="Times New Roman" w:hAnsi="Times New Roman" w:cs="Times New Roman"/>
          <w:sz w:val="24"/>
          <w:szCs w:val="24"/>
          <w:lang w:val="en-US"/>
        </w:rPr>
        <w:t>ed</w:t>
      </w:r>
      <w:proofErr w:type="spellEnd"/>
      <w:proofErr w:type="gramEnd"/>
      <w:r w:rsidRPr="00651677">
        <w:rPr>
          <w:rFonts w:ascii="Times New Roman" w:hAnsi="Times New Roman" w:cs="Times New Roman"/>
          <w:sz w:val="24"/>
          <w:szCs w:val="24"/>
          <w:lang w:val="en-US"/>
        </w:rPr>
        <w:t>: 15th Street, NW Washington, DC, United States of America, 2017, pp. 244-540.</w:t>
      </w:r>
    </w:p>
    <w:p w:rsidR="00D539C8" w:rsidRPr="00651677" w:rsidRDefault="00D539C8" w:rsidP="00651677">
      <w:pPr>
        <w:spacing w:after="0" w:line="360" w:lineRule="auto"/>
        <w:jc w:val="both"/>
        <w:rPr>
          <w:rFonts w:ascii="Times New Roman" w:hAnsi="Times New Roman" w:cs="Times New Roman"/>
          <w:sz w:val="24"/>
          <w:szCs w:val="24"/>
          <w:lang w:val="en-US"/>
        </w:rPr>
      </w:pPr>
      <w:r w:rsidRPr="00651677">
        <w:rPr>
          <w:rFonts w:ascii="Times New Roman" w:hAnsi="Times New Roman" w:cs="Times New Roman"/>
          <w:sz w:val="24"/>
          <w:szCs w:val="24"/>
          <w:lang w:val="en-US"/>
        </w:rPr>
        <w:t>API RP 13B-2., Recommended Practice for Field Testing of Oil-based Drilling Fluids (fourth edition), 2005, pp. 28-34.</w:t>
      </w:r>
    </w:p>
    <w:p w:rsidR="0002421F" w:rsidRPr="00651677" w:rsidRDefault="0002421F"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ASTM D 1557:12.</w:t>
      </w:r>
      <w:r w:rsidRPr="00651677">
        <w:rPr>
          <w:rFonts w:ascii="Times New Roman" w:hAnsi="Times New Roman" w:cs="Times New Roman"/>
          <w:sz w:val="24"/>
          <w:szCs w:val="24"/>
          <w:lang w:val="es-MX"/>
        </w:rPr>
        <w:t xml:space="preserve">(2018). </w:t>
      </w:r>
      <w:r w:rsidRPr="00651677">
        <w:rPr>
          <w:rFonts w:ascii="Times New Roman" w:hAnsi="Times New Roman" w:cs="Times New Roman"/>
          <w:sz w:val="24"/>
          <w:szCs w:val="24"/>
          <w:lang w:val="es-ES"/>
        </w:rPr>
        <w:t xml:space="preserve">Métodos de ensayo estándar para la determinación de las características de compactación de suelos en el laboratorio utilizando esfuerzo modificado, </w:t>
      </w:r>
      <w:r w:rsidRPr="00651677">
        <w:rPr>
          <w:rFonts w:ascii="Times New Roman" w:hAnsi="Times New Roman" w:cs="Times New Roman"/>
          <w:i/>
          <w:sz w:val="24"/>
          <w:szCs w:val="24"/>
          <w:lang w:val="es-ES"/>
        </w:rPr>
        <w:t xml:space="preserve">American Society for Testing And Materials </w:t>
      </w:r>
      <w:r w:rsidRPr="00651677">
        <w:rPr>
          <w:rFonts w:ascii="Times New Roman" w:hAnsi="Times New Roman" w:cs="Times New Roman"/>
          <w:sz w:val="24"/>
          <w:szCs w:val="24"/>
          <w:lang w:val="es-ES"/>
        </w:rPr>
        <w:t xml:space="preserve">(ASTM): Washington, DC, </w:t>
      </w:r>
      <w:r w:rsidRPr="00651677">
        <w:rPr>
          <w:rFonts w:ascii="Times New Roman" w:hAnsi="Times New Roman" w:cs="Times New Roman"/>
          <w:i/>
          <w:sz w:val="24"/>
          <w:szCs w:val="24"/>
          <w:lang w:val="es-ES"/>
        </w:rPr>
        <w:t>United States of America</w:t>
      </w:r>
      <w:r w:rsidRPr="00651677">
        <w:rPr>
          <w:rFonts w:ascii="Times New Roman" w:hAnsi="Times New Roman" w:cs="Times New Roman"/>
          <w:sz w:val="24"/>
          <w:szCs w:val="24"/>
          <w:lang w:val="es-ES"/>
        </w:rPr>
        <w:t>,. p. pp.34-39.</w:t>
      </w:r>
    </w:p>
    <w:p w:rsidR="00D539C8" w:rsidRPr="00651677" w:rsidRDefault="00D539C8" w:rsidP="00651677">
      <w:pPr>
        <w:pStyle w:val="EndNoteBibliography"/>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lang w:val="es-ES"/>
        </w:rPr>
        <w:t xml:space="preserve">ASTM D1883 – 07. Práctica estándar para la corrección del peso unitario y el contenido de humedad en suelos que contienen partículas de gran tamaño. </w:t>
      </w:r>
      <w:r w:rsidRPr="00651677">
        <w:rPr>
          <w:rFonts w:ascii="Times New Roman" w:hAnsi="Times New Roman" w:cs="Times New Roman"/>
          <w:sz w:val="24"/>
          <w:szCs w:val="24"/>
        </w:rPr>
        <w:t>American Society for Testing And Materials Washington, DC, United States of America, 2018, 39 pp.</w:t>
      </w:r>
    </w:p>
    <w:p w:rsidR="002666B4" w:rsidRPr="00651677" w:rsidRDefault="002666B4"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 334.(2004). Carreteras—pavimentos flexibles— Método de cálculo. Oficina Nacional de Normalización (NC): La Habana, Cuba. p. 34 pp.</w:t>
      </w:r>
    </w:p>
    <w:p w:rsidR="00D539C8" w:rsidRPr="00651677" w:rsidRDefault="002666B4"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 xml:space="preserve">NC:261. </w:t>
      </w:r>
      <w:r w:rsidR="00D539C8" w:rsidRPr="00651677">
        <w:rPr>
          <w:rFonts w:ascii="Times New Roman" w:hAnsi="Times New Roman" w:cs="Times New Roman"/>
          <w:sz w:val="24"/>
          <w:szCs w:val="24"/>
          <w:lang w:val="es-ES"/>
        </w:rPr>
        <w:t>Determinación del contenido óptimo de asfalto empleando el equipo Marshall.Cuban National Bureau of Standards. La Habana, Cuba., 2005, 30 pp</w:t>
      </w:r>
    </w:p>
    <w:p w:rsidR="00D539C8" w:rsidRPr="00651677" w:rsidRDefault="00D539C8"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 819. Manejo de fondaje de tanques de almacenamiento de petróleo y sus derivados, Cuban National Bureau of Standards, La Habana, Cuba, 2017, 4 - 20 pp.</w:t>
      </w:r>
    </w:p>
    <w:p w:rsidR="00D539C8" w:rsidRPr="00651677" w:rsidRDefault="00D539C8"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 20. Geotecnia. Determinación de la granulometría de los suelos. La Habana, Cuba. 1999, 22 pp.</w:t>
      </w:r>
    </w:p>
    <w:p w:rsidR="0002421F" w:rsidRPr="00651677" w:rsidRDefault="0002421F"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 58.(2000). Geotecnia. Determinacion del limite liquido, limite plastico e indice de plasticidad de los suelos. Oficina Nacional de Normalización .La Habana, Cuba. p. 20 pp.</w:t>
      </w:r>
    </w:p>
    <w:p w:rsidR="00D539C8" w:rsidRPr="00651677" w:rsidRDefault="00D539C8"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NC:161.Carreteras. Bases y  sub-bases de caliza blanda. Oficina Nacional de Normalización La Habana, Cuba, 2002, 11 pp.</w:t>
      </w:r>
    </w:p>
    <w:p w:rsidR="00D539C8" w:rsidRPr="00651677" w:rsidRDefault="00D539C8" w:rsidP="00651677">
      <w:pPr>
        <w:spacing w:after="0" w:line="360" w:lineRule="auto"/>
        <w:jc w:val="both"/>
        <w:rPr>
          <w:rFonts w:ascii="Times New Roman" w:hAnsi="Times New Roman" w:cs="Times New Roman"/>
          <w:sz w:val="24"/>
          <w:szCs w:val="24"/>
        </w:rPr>
      </w:pPr>
      <w:r w:rsidRPr="00651677">
        <w:rPr>
          <w:rFonts w:ascii="Times New Roman" w:hAnsi="Times New Roman" w:cs="Times New Roman"/>
          <w:sz w:val="24"/>
          <w:szCs w:val="24"/>
        </w:rPr>
        <w:t>NC-32. Normalización, Calidad del suelo. Determinación del pH y la conductividad eléctrica en el extracto de saturación., Cuban National Bureau of Standards, La Habana, Cuba, 2009, pp. 6-11.</w:t>
      </w:r>
    </w:p>
    <w:p w:rsidR="00D539C8" w:rsidRPr="00651677" w:rsidRDefault="00D539C8" w:rsidP="00651677">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NC 759. Áridos para mezclas asfálticas — requisitos. Oficina Nacional de Normalización La Habana, Cuba 2010, 17 pp.</w:t>
      </w:r>
    </w:p>
    <w:p w:rsidR="00E94268" w:rsidRDefault="00D539C8" w:rsidP="00826323">
      <w:pPr>
        <w:pStyle w:val="EndNoteBibliography"/>
        <w:spacing w:after="0" w:line="360" w:lineRule="auto"/>
        <w:jc w:val="both"/>
        <w:rPr>
          <w:rFonts w:ascii="Times New Roman" w:hAnsi="Times New Roman" w:cs="Times New Roman"/>
          <w:sz w:val="24"/>
          <w:szCs w:val="24"/>
          <w:lang w:val="es-ES"/>
        </w:rPr>
      </w:pPr>
      <w:r w:rsidRPr="00651677">
        <w:rPr>
          <w:rFonts w:ascii="Times New Roman" w:hAnsi="Times New Roman" w:cs="Times New Roman"/>
          <w:sz w:val="24"/>
          <w:szCs w:val="24"/>
          <w:lang w:val="es-ES"/>
        </w:rPr>
        <w:t>Resolución 136:2009., Reglamento para el manejo integral de desechos peligrosos. Ministerio de Ciencia Tecnología y Medio Ambiente (CITMA), 2009, pp. 14-30.</w:t>
      </w:r>
    </w:p>
    <w:p w:rsidR="00826323" w:rsidRPr="00826323" w:rsidRDefault="00826323" w:rsidP="00826323">
      <w:pPr>
        <w:pStyle w:val="EndNoteBibliography"/>
        <w:spacing w:after="0" w:line="360" w:lineRule="auto"/>
        <w:jc w:val="both"/>
        <w:rPr>
          <w:rFonts w:ascii="Times New Roman" w:hAnsi="Times New Roman" w:cs="Times New Roman"/>
          <w:sz w:val="24"/>
          <w:szCs w:val="24"/>
          <w:lang w:val="es-ES"/>
        </w:rPr>
      </w:pPr>
    </w:p>
    <w:p w:rsidR="00AD5B57" w:rsidRPr="00B86A5A" w:rsidRDefault="00AD5B57" w:rsidP="00B86A5A">
      <w:pPr>
        <w:jc w:val="center"/>
        <w:rPr>
          <w:rFonts w:ascii="Times New Roman" w:hAnsi="Times New Roman" w:cs="Times New Roman"/>
          <w:b/>
          <w:sz w:val="24"/>
        </w:rPr>
      </w:pPr>
      <w:r w:rsidRPr="00B86A5A">
        <w:rPr>
          <w:rFonts w:ascii="Times New Roman" w:hAnsi="Times New Roman" w:cs="Times New Roman"/>
          <w:b/>
          <w:sz w:val="24"/>
        </w:rPr>
        <w:lastRenderedPageBreak/>
        <w:t>Anexos</w:t>
      </w:r>
    </w:p>
    <w:p w:rsidR="009D7D84" w:rsidRPr="00ED2EE0" w:rsidRDefault="00AD5B57" w:rsidP="00ED2EE0">
      <w:pPr>
        <w:rPr>
          <w:rFonts w:ascii="Times New Roman" w:hAnsi="Times New Roman" w:cs="Times New Roman"/>
          <w:sz w:val="24"/>
          <w:szCs w:val="24"/>
        </w:rPr>
      </w:pPr>
      <w:r w:rsidRPr="00B86A5A">
        <w:rPr>
          <w:rFonts w:ascii="Times New Roman" w:hAnsi="Times New Roman" w:cs="Times New Roman"/>
          <w:b/>
          <w:sz w:val="24"/>
          <w:szCs w:val="24"/>
        </w:rPr>
        <w:t>Anexo 1</w:t>
      </w:r>
      <w:r w:rsidR="00ED2EE0">
        <w:rPr>
          <w:rFonts w:ascii="Times New Roman" w:hAnsi="Times New Roman" w:cs="Times New Roman"/>
          <w:sz w:val="24"/>
          <w:szCs w:val="24"/>
        </w:rPr>
        <w:t xml:space="preserve">                 </w:t>
      </w:r>
      <w:r w:rsidR="009D7D84" w:rsidRPr="00402044">
        <w:rPr>
          <w:rFonts w:ascii="Times New Roman" w:eastAsia="Times New Roman" w:hAnsi="Times New Roman" w:cs="Times New Roman"/>
          <w:b/>
          <w:sz w:val="24"/>
          <w:szCs w:val="24"/>
          <w:lang w:eastAsia="es-ES"/>
        </w:rPr>
        <w:t>Tabla 1.</w:t>
      </w:r>
      <w:r w:rsidR="009D7D84" w:rsidRPr="00402044">
        <w:rPr>
          <w:rFonts w:ascii="Times New Roman" w:eastAsia="Times New Roman" w:hAnsi="Times New Roman" w:cs="Times New Roman"/>
          <w:sz w:val="24"/>
          <w:szCs w:val="24"/>
          <w:lang w:eastAsia="es-ES"/>
        </w:rPr>
        <w:t xml:space="preserve"> Características de los cortes de perforación</w:t>
      </w:r>
    </w:p>
    <w:tbl>
      <w:tblPr>
        <w:tblStyle w:val="Tablaconcuadrcula"/>
        <w:tblW w:w="0" w:type="auto"/>
        <w:jc w:val="center"/>
        <w:tblLook w:val="04A0" w:firstRow="1" w:lastRow="0" w:firstColumn="1" w:lastColumn="0" w:noHBand="0" w:noVBand="1"/>
      </w:tblPr>
      <w:tblGrid>
        <w:gridCol w:w="1583"/>
        <w:gridCol w:w="883"/>
        <w:gridCol w:w="996"/>
        <w:gridCol w:w="1230"/>
        <w:gridCol w:w="936"/>
        <w:gridCol w:w="2456"/>
      </w:tblGrid>
      <w:tr w:rsidR="009D7D84" w:rsidRPr="00402044" w:rsidTr="003C054E">
        <w:trPr>
          <w:trHeight w:val="300"/>
          <w:jc w:val="center"/>
        </w:trPr>
        <w:tc>
          <w:tcPr>
            <w:tcW w:w="0" w:type="auto"/>
            <w:vMerge w:val="restart"/>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Muestra</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HCTP</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G y A</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Humedad</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pH</w:t>
            </w:r>
          </w:p>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(25 ℃)</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proofErr w:type="spellStart"/>
            <w:r w:rsidRPr="00402044">
              <w:rPr>
                <w:rFonts w:ascii="Times New Roman" w:hAnsi="Times New Roman" w:cs="Times New Roman"/>
                <w:b/>
                <w:color w:val="000000"/>
                <w:sz w:val="24"/>
                <w:szCs w:val="24"/>
                <w:lang w:eastAsia="es-ES"/>
              </w:rPr>
              <w:t>Conductividad</w:t>
            </w:r>
            <w:proofErr w:type="spellEnd"/>
            <w:r w:rsidRPr="00402044">
              <w:rPr>
                <w:rFonts w:ascii="Times New Roman" w:hAnsi="Times New Roman" w:cs="Times New Roman"/>
                <w:b/>
                <w:color w:val="000000"/>
                <w:sz w:val="24"/>
                <w:szCs w:val="24"/>
                <w:lang w:eastAsia="es-ES"/>
              </w:rPr>
              <w:t xml:space="preserve"> (25℃)</w:t>
            </w:r>
          </w:p>
        </w:tc>
      </w:tr>
      <w:tr w:rsidR="009D7D84" w:rsidRPr="00402044" w:rsidTr="003C054E">
        <w:trPr>
          <w:trHeight w:val="300"/>
          <w:jc w:val="center"/>
        </w:trPr>
        <w:tc>
          <w:tcPr>
            <w:tcW w:w="0" w:type="auto"/>
            <w:vMerge/>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p>
        </w:tc>
        <w:tc>
          <w:tcPr>
            <w:tcW w:w="0" w:type="auto"/>
            <w:gridSpan w:val="2"/>
            <w:shd w:val="clear" w:color="auto" w:fill="auto"/>
            <w:noWrap/>
            <w:vAlign w:val="center"/>
          </w:tcPr>
          <w:p w:rsidR="009D7D84" w:rsidRPr="00402044" w:rsidRDefault="00ED2EE0" w:rsidP="003C054E">
            <w:pPr>
              <w:spacing w:line="360" w:lineRule="auto"/>
              <w:jc w:val="center"/>
              <w:rPr>
                <w:rFonts w:ascii="Times New Roman" w:hAnsi="Times New Roman" w:cs="Times New Roman"/>
                <w:b/>
                <w:color w:val="000000"/>
                <w:sz w:val="24"/>
                <w:szCs w:val="24"/>
                <w:lang w:eastAsia="es-ES"/>
              </w:rPr>
            </w:pPr>
            <w:r>
              <w:rPr>
                <w:rFonts w:ascii="Times New Roman" w:hAnsi="Times New Roman" w:cs="Times New Roman"/>
                <w:b/>
                <w:color w:val="000000"/>
                <w:sz w:val="24"/>
                <w:szCs w:val="24"/>
                <w:lang w:eastAsia="es-ES"/>
              </w:rPr>
              <w:t xml:space="preserve">mg/kg o </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mS/cm</w:t>
            </w:r>
          </w:p>
        </w:tc>
      </w:tr>
      <w:tr w:rsidR="009D7D84" w:rsidRPr="00402044" w:rsidTr="00ED2EE0">
        <w:trPr>
          <w:trHeight w:val="498"/>
          <w:jc w:val="center"/>
        </w:trPr>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Corte seco</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32 060</w:t>
            </w:r>
          </w:p>
          <w:p w:rsidR="009D7D84" w:rsidRPr="00402044" w:rsidRDefault="009D7D84" w:rsidP="00ED2EE0">
            <w:pPr>
              <w:spacing w:line="360" w:lineRule="auto"/>
              <w:rPr>
                <w:rFonts w:ascii="Times New Roman" w:hAnsi="Times New Roman" w:cs="Times New Roman"/>
                <w:color w:val="000000"/>
                <w:sz w:val="24"/>
                <w:szCs w:val="24"/>
                <w:lang w:eastAsia="es-ES"/>
              </w:rPr>
            </w:pP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47 220</w:t>
            </w:r>
          </w:p>
          <w:p w:rsidR="009D7D84" w:rsidRPr="00402044" w:rsidRDefault="009D7D84" w:rsidP="003C054E">
            <w:pPr>
              <w:spacing w:line="360" w:lineRule="auto"/>
              <w:jc w:val="center"/>
              <w:rPr>
                <w:rFonts w:ascii="Times New Roman" w:hAnsi="Times New Roman" w:cs="Times New Roman"/>
                <w:color w:val="000000"/>
                <w:sz w:val="24"/>
                <w:szCs w:val="24"/>
                <w:lang w:eastAsia="es-ES"/>
              </w:rPr>
            </w:pP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9,42</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8,6</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17,03</w:t>
            </w:r>
          </w:p>
        </w:tc>
      </w:tr>
      <w:tr w:rsidR="009D7D84" w:rsidRPr="00402044" w:rsidTr="00E010C6">
        <w:trPr>
          <w:trHeight w:val="771"/>
          <w:jc w:val="center"/>
        </w:trPr>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 xml:space="preserve">Corte </w:t>
            </w:r>
            <w:proofErr w:type="spellStart"/>
            <w:r w:rsidRPr="00402044">
              <w:rPr>
                <w:rFonts w:ascii="Times New Roman" w:hAnsi="Times New Roman" w:cs="Times New Roman"/>
                <w:color w:val="000000"/>
                <w:sz w:val="24"/>
                <w:szCs w:val="24"/>
                <w:lang w:eastAsia="es-ES"/>
              </w:rPr>
              <w:t>húmedo</w:t>
            </w:r>
            <w:proofErr w:type="spellEnd"/>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61 380</w:t>
            </w:r>
          </w:p>
          <w:p w:rsidR="009D7D84" w:rsidRPr="00402044" w:rsidRDefault="009D7D84" w:rsidP="003C054E">
            <w:pPr>
              <w:spacing w:line="360" w:lineRule="auto"/>
              <w:jc w:val="center"/>
              <w:rPr>
                <w:rFonts w:ascii="Times New Roman" w:hAnsi="Times New Roman" w:cs="Times New Roman"/>
                <w:color w:val="000000"/>
                <w:sz w:val="24"/>
                <w:szCs w:val="24"/>
                <w:lang w:eastAsia="es-ES"/>
              </w:rPr>
            </w:pPr>
          </w:p>
        </w:tc>
        <w:tc>
          <w:tcPr>
            <w:tcW w:w="0" w:type="auto"/>
            <w:tcBorders>
              <w:bottom w:val="single" w:sz="4" w:space="0" w:color="auto"/>
            </w:tcBorders>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147 200</w:t>
            </w:r>
          </w:p>
          <w:p w:rsidR="009D7D84" w:rsidRPr="00402044" w:rsidRDefault="009D7D84" w:rsidP="003C054E">
            <w:pPr>
              <w:spacing w:line="360" w:lineRule="auto"/>
              <w:jc w:val="center"/>
              <w:rPr>
                <w:rFonts w:ascii="Times New Roman" w:hAnsi="Times New Roman" w:cs="Times New Roman"/>
                <w:color w:val="000000"/>
                <w:sz w:val="24"/>
                <w:szCs w:val="24"/>
                <w:lang w:eastAsia="es-ES"/>
              </w:rPr>
            </w:pP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15,44</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8,98</w:t>
            </w:r>
          </w:p>
        </w:tc>
        <w:tc>
          <w:tcPr>
            <w:tcW w:w="0" w:type="auto"/>
            <w:shd w:val="clear" w:color="auto" w:fill="auto"/>
            <w:noWrap/>
            <w:vAlign w:val="center"/>
            <w:hideMark/>
          </w:tcPr>
          <w:p w:rsidR="009D7D84" w:rsidRPr="00402044" w:rsidRDefault="009D7D84" w:rsidP="003C054E">
            <w:pPr>
              <w:spacing w:line="360" w:lineRule="auto"/>
              <w:jc w:val="center"/>
              <w:rPr>
                <w:rFonts w:ascii="Times New Roman" w:hAnsi="Times New Roman" w:cs="Times New Roman"/>
                <w:color w:val="000000"/>
                <w:sz w:val="24"/>
                <w:szCs w:val="24"/>
                <w:lang w:eastAsia="es-ES"/>
              </w:rPr>
            </w:pPr>
            <w:r w:rsidRPr="00402044">
              <w:rPr>
                <w:rFonts w:ascii="Times New Roman" w:hAnsi="Times New Roman" w:cs="Times New Roman"/>
                <w:color w:val="000000"/>
                <w:sz w:val="24"/>
                <w:szCs w:val="24"/>
                <w:lang w:eastAsia="es-ES"/>
              </w:rPr>
              <w:t>5,32</w:t>
            </w:r>
          </w:p>
        </w:tc>
      </w:tr>
      <w:tr w:rsidR="009D7D84" w:rsidRPr="00402044" w:rsidTr="003C054E">
        <w:trPr>
          <w:trHeight w:val="300"/>
          <w:jc w:val="center"/>
        </w:trPr>
        <w:tc>
          <w:tcPr>
            <w:tcW w:w="0" w:type="auto"/>
            <w:shd w:val="clear" w:color="auto" w:fill="auto"/>
            <w:noWrap/>
            <w:vAlign w:val="center"/>
          </w:tcPr>
          <w:p w:rsidR="009D7D84" w:rsidRPr="00ED2EE0" w:rsidRDefault="00ED2EE0" w:rsidP="00ED2EE0">
            <w:pPr>
              <w:spacing w:line="360" w:lineRule="auto"/>
              <w:jc w:val="center"/>
              <w:rPr>
                <w:rFonts w:ascii="Times New Roman" w:hAnsi="Times New Roman" w:cs="Times New Roman"/>
                <w:b/>
                <w:color w:val="000000"/>
                <w:sz w:val="24"/>
                <w:szCs w:val="24"/>
                <w:lang w:eastAsia="es-ES"/>
              </w:rPr>
            </w:pPr>
            <w:r w:rsidRPr="00ED2EE0">
              <w:rPr>
                <w:rFonts w:ascii="Times New Roman" w:hAnsi="Times New Roman" w:cs="Times New Roman"/>
                <w:b/>
                <w:color w:val="000000"/>
                <w:sz w:val="24"/>
                <w:szCs w:val="24"/>
                <w:lang w:eastAsia="es-ES"/>
              </w:rPr>
              <w:t>LMP</w:t>
            </w:r>
          </w:p>
        </w:tc>
        <w:tc>
          <w:tcPr>
            <w:tcW w:w="0" w:type="auto"/>
            <w:gridSpan w:val="2"/>
            <w:shd w:val="clear" w:color="auto" w:fill="auto"/>
            <w:noWrap/>
            <w:vAlign w:val="center"/>
          </w:tcPr>
          <w:p w:rsidR="009D7D84" w:rsidRPr="00402044" w:rsidRDefault="009D7D84" w:rsidP="00ED2EE0">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 xml:space="preserve">10 000 </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6-8</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200</w:t>
            </w:r>
          </w:p>
        </w:tc>
      </w:tr>
      <w:tr w:rsidR="009D7D84" w:rsidRPr="00402044" w:rsidTr="003C054E">
        <w:trPr>
          <w:trHeight w:val="300"/>
          <w:jc w:val="center"/>
        </w:trPr>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CITMA</w:t>
            </w:r>
          </w:p>
        </w:tc>
        <w:tc>
          <w:tcPr>
            <w:tcW w:w="0" w:type="auto"/>
            <w:gridSpan w:val="2"/>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5</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w:t>
            </w:r>
          </w:p>
        </w:tc>
        <w:tc>
          <w:tcPr>
            <w:tcW w:w="0" w:type="auto"/>
            <w:shd w:val="clear" w:color="auto" w:fill="auto"/>
            <w:noWrap/>
            <w:vAlign w:val="center"/>
          </w:tcPr>
          <w:p w:rsidR="009D7D84" w:rsidRPr="00402044" w:rsidRDefault="009D7D84" w:rsidP="003C054E">
            <w:pPr>
              <w:spacing w:line="360" w:lineRule="auto"/>
              <w:jc w:val="center"/>
              <w:rPr>
                <w:rFonts w:ascii="Times New Roman" w:hAnsi="Times New Roman" w:cs="Times New Roman"/>
                <w:b/>
                <w:color w:val="000000"/>
                <w:sz w:val="24"/>
                <w:szCs w:val="24"/>
                <w:lang w:eastAsia="es-ES"/>
              </w:rPr>
            </w:pPr>
            <w:r w:rsidRPr="00402044">
              <w:rPr>
                <w:rFonts w:ascii="Times New Roman" w:hAnsi="Times New Roman" w:cs="Times New Roman"/>
                <w:b/>
                <w:color w:val="000000"/>
                <w:sz w:val="24"/>
                <w:szCs w:val="24"/>
                <w:lang w:eastAsia="es-ES"/>
              </w:rPr>
              <w:t>-</w:t>
            </w:r>
          </w:p>
        </w:tc>
      </w:tr>
    </w:tbl>
    <w:p w:rsidR="009D7D84" w:rsidRPr="00ED2EE0" w:rsidRDefault="009D7D84" w:rsidP="009D7D84">
      <w:pPr>
        <w:spacing w:after="0" w:line="360" w:lineRule="auto"/>
        <w:jc w:val="both"/>
        <w:rPr>
          <w:rFonts w:ascii="Times New Roman" w:eastAsia="Times New Roman" w:hAnsi="Times New Roman" w:cs="Times New Roman"/>
          <w:sz w:val="14"/>
          <w:szCs w:val="24"/>
          <w:lang w:eastAsia="es-ES"/>
        </w:rPr>
      </w:pPr>
      <w:r w:rsidRPr="00ED2EE0">
        <w:rPr>
          <w:rFonts w:ascii="Times New Roman" w:eastAsia="Times New Roman" w:hAnsi="Times New Roman" w:cs="Times New Roman"/>
          <w:sz w:val="14"/>
          <w:szCs w:val="24"/>
          <w:lang w:eastAsia="es-ES"/>
        </w:rPr>
        <w:t>LMP: Límite máximo permisible</w:t>
      </w:r>
      <w:r w:rsidR="00ED2EE0">
        <w:rPr>
          <w:rFonts w:ascii="Times New Roman" w:eastAsia="Times New Roman" w:hAnsi="Times New Roman" w:cs="Times New Roman"/>
          <w:sz w:val="14"/>
          <w:szCs w:val="24"/>
          <w:lang w:eastAsia="es-ES"/>
        </w:rPr>
        <w:t xml:space="preserve"> </w:t>
      </w:r>
      <w:r w:rsidR="00ED2EE0" w:rsidRPr="00ED2EE0">
        <w:rPr>
          <w:rFonts w:ascii="Times New Roman" w:eastAsia="Times New Roman" w:hAnsi="Times New Roman" w:cs="Times New Roman"/>
          <w:sz w:val="14"/>
          <w:szCs w:val="24"/>
          <w:lang w:eastAsia="es-ES"/>
        </w:rPr>
        <w:t>(NC 819: 2017)</w:t>
      </w:r>
    </w:p>
    <w:p w:rsidR="009D7D84" w:rsidRPr="00ED2EE0" w:rsidRDefault="009D7D84" w:rsidP="009D7D84">
      <w:pPr>
        <w:spacing w:after="0" w:line="360" w:lineRule="auto"/>
        <w:jc w:val="both"/>
        <w:rPr>
          <w:rFonts w:ascii="Times New Roman" w:eastAsia="Times New Roman" w:hAnsi="Times New Roman" w:cs="Times New Roman"/>
          <w:sz w:val="14"/>
          <w:szCs w:val="24"/>
          <w:lang w:eastAsia="es-ES"/>
        </w:rPr>
      </w:pPr>
      <w:r w:rsidRPr="00ED2EE0">
        <w:rPr>
          <w:rFonts w:ascii="Times New Roman" w:eastAsia="Times New Roman" w:hAnsi="Times New Roman" w:cs="Times New Roman"/>
          <w:sz w:val="14"/>
          <w:szCs w:val="24"/>
          <w:lang w:eastAsia="es-ES"/>
        </w:rPr>
        <w:t>CITMA: Ciencia Tecnología y Medio Ambiente</w:t>
      </w:r>
    </w:p>
    <w:p w:rsidR="009D7D84" w:rsidRPr="00ED2EE0" w:rsidRDefault="009D7D84" w:rsidP="009D7D84">
      <w:pPr>
        <w:spacing w:line="360" w:lineRule="auto"/>
        <w:jc w:val="both"/>
        <w:rPr>
          <w:rFonts w:ascii="Times New Roman" w:eastAsia="Times New Roman" w:hAnsi="Times New Roman" w:cs="Times New Roman"/>
          <w:sz w:val="14"/>
          <w:szCs w:val="24"/>
          <w:lang w:eastAsia="es-ES"/>
        </w:rPr>
      </w:pPr>
      <w:r w:rsidRPr="00ED2EE0">
        <w:rPr>
          <w:rFonts w:ascii="Times New Roman" w:eastAsia="Times New Roman" w:hAnsi="Times New Roman" w:cs="Times New Roman"/>
          <w:sz w:val="14"/>
          <w:szCs w:val="24"/>
          <w:lang w:eastAsia="es-ES"/>
        </w:rPr>
        <w:t xml:space="preserve"> (-) No se especifica </w:t>
      </w:r>
    </w:p>
    <w:p w:rsidR="009D7D84" w:rsidRPr="00B86A5A" w:rsidRDefault="009D7D84" w:rsidP="00ED2EE0">
      <w:pPr>
        <w:spacing w:after="0"/>
        <w:rPr>
          <w:rFonts w:ascii="Times New Roman" w:hAnsi="Times New Roman" w:cs="Times New Roman"/>
          <w:sz w:val="24"/>
          <w:szCs w:val="24"/>
        </w:rPr>
      </w:pPr>
      <w:r w:rsidRPr="00B86A5A">
        <w:rPr>
          <w:rFonts w:ascii="Times New Roman" w:hAnsi="Times New Roman" w:cs="Times New Roman"/>
          <w:b/>
          <w:sz w:val="24"/>
          <w:szCs w:val="24"/>
        </w:rPr>
        <w:t>Anexo 2</w:t>
      </w:r>
      <w:r w:rsidR="00ED2EE0" w:rsidRPr="00B86A5A">
        <w:rPr>
          <w:rFonts w:ascii="Times New Roman" w:hAnsi="Times New Roman" w:cs="Times New Roman"/>
          <w:sz w:val="24"/>
          <w:szCs w:val="24"/>
        </w:rPr>
        <w:t xml:space="preserve">                                 </w:t>
      </w:r>
      <w:r w:rsidRPr="00B86A5A">
        <w:rPr>
          <w:rFonts w:ascii="Times New Roman" w:eastAsia="Times New Roman" w:hAnsi="Times New Roman" w:cs="Times New Roman"/>
          <w:b/>
          <w:color w:val="000000"/>
          <w:sz w:val="24"/>
          <w:szCs w:val="24"/>
          <w:lang w:eastAsia="es-ES"/>
        </w:rPr>
        <w:t xml:space="preserve">Tabla 2. </w:t>
      </w:r>
      <w:r w:rsidRPr="00B86A5A">
        <w:rPr>
          <w:rFonts w:ascii="Times New Roman" w:eastAsia="Times New Roman" w:hAnsi="Times New Roman" w:cs="Times New Roman"/>
          <w:color w:val="000000"/>
          <w:sz w:val="24"/>
          <w:szCs w:val="24"/>
          <w:lang w:eastAsia="es-ES"/>
        </w:rPr>
        <w:t>Densidad de las probetas</w:t>
      </w:r>
    </w:p>
    <w:tbl>
      <w:tblPr>
        <w:tblStyle w:val="Tablaconcuadrcula3"/>
        <w:tblW w:w="0" w:type="auto"/>
        <w:jc w:val="center"/>
        <w:tblLook w:val="04A0" w:firstRow="1" w:lastRow="0" w:firstColumn="1" w:lastColumn="0" w:noHBand="0" w:noVBand="1"/>
      </w:tblPr>
      <w:tblGrid>
        <w:gridCol w:w="1123"/>
        <w:gridCol w:w="1423"/>
        <w:gridCol w:w="1970"/>
        <w:gridCol w:w="1023"/>
      </w:tblGrid>
      <w:tr w:rsidR="009D7D84" w:rsidRPr="00B86A5A" w:rsidTr="003C054E">
        <w:trPr>
          <w:jc w:val="center"/>
        </w:trPr>
        <w:tc>
          <w:tcPr>
            <w:tcW w:w="0" w:type="auto"/>
            <w:shd w:val="clear" w:color="auto" w:fill="auto"/>
          </w:tcPr>
          <w:p w:rsidR="009D7D84" w:rsidRPr="00B86A5A" w:rsidRDefault="009D7D84" w:rsidP="003C054E">
            <w:pPr>
              <w:spacing w:line="360" w:lineRule="auto"/>
              <w:jc w:val="center"/>
              <w:rPr>
                <w:rFonts w:ascii="Times New Roman" w:hAnsi="Times New Roman" w:cs="Times New Roman"/>
                <w:b/>
                <w:sz w:val="24"/>
                <w:szCs w:val="24"/>
              </w:rPr>
            </w:pPr>
            <w:r w:rsidRPr="00B86A5A">
              <w:rPr>
                <w:rFonts w:ascii="Times New Roman" w:hAnsi="Times New Roman" w:cs="Times New Roman"/>
                <w:b/>
                <w:sz w:val="24"/>
                <w:szCs w:val="24"/>
              </w:rPr>
              <w:t>Probetas</w:t>
            </w:r>
          </w:p>
        </w:tc>
        <w:tc>
          <w:tcPr>
            <w:tcW w:w="0" w:type="auto"/>
            <w:shd w:val="clear" w:color="auto" w:fill="auto"/>
          </w:tcPr>
          <w:p w:rsidR="009D7D84" w:rsidRPr="00B86A5A" w:rsidRDefault="009D7D84" w:rsidP="003C054E">
            <w:pPr>
              <w:spacing w:line="360" w:lineRule="auto"/>
              <w:jc w:val="center"/>
              <w:rPr>
                <w:rFonts w:ascii="Times New Roman" w:hAnsi="Times New Roman" w:cs="Times New Roman"/>
                <w:b/>
                <w:sz w:val="24"/>
                <w:szCs w:val="24"/>
                <w:lang w:val="es-ES"/>
              </w:rPr>
            </w:pPr>
            <w:r w:rsidRPr="00B86A5A">
              <w:rPr>
                <w:rFonts w:ascii="Times New Roman" w:hAnsi="Times New Roman" w:cs="Times New Roman"/>
                <w:b/>
                <w:sz w:val="24"/>
                <w:szCs w:val="24"/>
                <w:lang w:val="es-ES"/>
              </w:rPr>
              <w:t>Altura (cm)</w:t>
            </w:r>
          </w:p>
        </w:tc>
        <w:tc>
          <w:tcPr>
            <w:tcW w:w="0" w:type="auto"/>
            <w:shd w:val="clear" w:color="auto" w:fill="auto"/>
          </w:tcPr>
          <w:p w:rsidR="009D7D84" w:rsidRPr="00B86A5A" w:rsidRDefault="009D7D84" w:rsidP="003C054E">
            <w:pPr>
              <w:spacing w:line="360" w:lineRule="auto"/>
              <w:jc w:val="center"/>
              <w:rPr>
                <w:rFonts w:ascii="Times New Roman" w:hAnsi="Times New Roman" w:cs="Times New Roman"/>
                <w:b/>
                <w:sz w:val="24"/>
                <w:szCs w:val="24"/>
                <w:lang w:val="es-ES"/>
              </w:rPr>
            </w:pPr>
            <w:r w:rsidRPr="00B86A5A">
              <w:rPr>
                <w:rFonts w:ascii="Times New Roman" w:hAnsi="Times New Roman" w:cs="Times New Roman"/>
                <w:b/>
                <w:sz w:val="24"/>
                <w:szCs w:val="24"/>
                <w:lang w:val="es-ES"/>
              </w:rPr>
              <w:t>Densidad (g/cm</w:t>
            </w:r>
            <w:r w:rsidRPr="00B86A5A">
              <w:rPr>
                <w:rFonts w:ascii="Times New Roman" w:hAnsi="Times New Roman" w:cs="Times New Roman"/>
                <w:b/>
                <w:sz w:val="24"/>
                <w:szCs w:val="24"/>
                <w:vertAlign w:val="superscript"/>
                <w:lang w:val="es-ES"/>
              </w:rPr>
              <w:t>3</w:t>
            </w:r>
            <w:r w:rsidRPr="00B86A5A">
              <w:rPr>
                <w:rFonts w:ascii="Times New Roman" w:hAnsi="Times New Roman" w:cs="Times New Roman"/>
                <w:b/>
                <w:sz w:val="24"/>
                <w:szCs w:val="24"/>
                <w:lang w:val="es-ES"/>
              </w:rPr>
              <w:t>)</w:t>
            </w:r>
          </w:p>
        </w:tc>
        <w:tc>
          <w:tcPr>
            <w:tcW w:w="0" w:type="auto"/>
            <w:shd w:val="clear" w:color="auto" w:fill="auto"/>
          </w:tcPr>
          <w:p w:rsidR="009D7D84" w:rsidRPr="00B86A5A" w:rsidRDefault="009D7D84" w:rsidP="003C054E">
            <w:pPr>
              <w:spacing w:line="360" w:lineRule="auto"/>
              <w:jc w:val="center"/>
              <w:rPr>
                <w:rFonts w:ascii="Times New Roman" w:hAnsi="Times New Roman" w:cs="Times New Roman"/>
                <w:b/>
                <w:sz w:val="24"/>
                <w:szCs w:val="24"/>
                <w:lang w:val="es-ES"/>
              </w:rPr>
            </w:pPr>
            <w:r w:rsidRPr="00B86A5A">
              <w:rPr>
                <w:rFonts w:ascii="Times New Roman" w:hAnsi="Times New Roman" w:cs="Times New Roman"/>
                <w:b/>
                <w:sz w:val="24"/>
                <w:szCs w:val="24"/>
                <w:lang w:val="es-ES"/>
              </w:rPr>
              <w:t>Peso (g)</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1</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lang w:val="es-ES"/>
              </w:rPr>
            </w:pPr>
            <w:r w:rsidRPr="00E010C6">
              <w:rPr>
                <w:rFonts w:ascii="Times New Roman" w:hAnsi="Times New Roman" w:cs="Times New Roman"/>
                <w:szCs w:val="24"/>
                <w:lang w:val="es-ES"/>
              </w:rPr>
              <w:t>5,9</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lang w:val="es-ES"/>
              </w:rPr>
              <w:t>2,</w:t>
            </w:r>
            <w:r w:rsidRPr="00E010C6">
              <w:rPr>
                <w:rFonts w:ascii="Times New Roman" w:hAnsi="Times New Roman" w:cs="Times New Roman"/>
                <w:szCs w:val="24"/>
              </w:rPr>
              <w:t>506</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1 161,4</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2</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6,3</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2,501</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1 178,4</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3</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5,7</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2,666</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1 151,5</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4</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6,4</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2,419</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1 177,8</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5</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7</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color w:val="FF0000"/>
                <w:szCs w:val="24"/>
              </w:rPr>
              <w:t>2,019</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1 110,1</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6</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5,3</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2,642</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1 182,9</w:t>
            </w:r>
          </w:p>
        </w:tc>
      </w:tr>
      <w:tr w:rsidR="009D7D84" w:rsidRPr="00B86A5A" w:rsidTr="003C054E">
        <w:trPr>
          <w:jc w:val="center"/>
        </w:trPr>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S</w:t>
            </w:r>
            <w:r w:rsidRPr="00E010C6">
              <w:rPr>
                <w:rFonts w:ascii="Times New Roman" w:hAnsi="Times New Roman" w:cs="Times New Roman"/>
                <w:szCs w:val="24"/>
                <w:vertAlign w:val="subscript"/>
              </w:rPr>
              <w:t>7</w:t>
            </w:r>
          </w:p>
        </w:tc>
        <w:tc>
          <w:tcPr>
            <w:tcW w:w="0" w:type="auto"/>
            <w:shd w:val="clear" w:color="auto" w:fill="FFFFFF"/>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5,6</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2,773</w:t>
            </w:r>
          </w:p>
        </w:tc>
        <w:tc>
          <w:tcPr>
            <w:tcW w:w="0" w:type="auto"/>
          </w:tcPr>
          <w:p w:rsidR="009D7D84" w:rsidRPr="00E010C6" w:rsidRDefault="009D7D84" w:rsidP="003C054E">
            <w:pPr>
              <w:spacing w:line="360" w:lineRule="auto"/>
              <w:jc w:val="center"/>
              <w:rPr>
                <w:rFonts w:ascii="Times New Roman" w:hAnsi="Times New Roman" w:cs="Times New Roman"/>
                <w:szCs w:val="24"/>
              </w:rPr>
            </w:pPr>
            <w:r w:rsidRPr="00E010C6">
              <w:rPr>
                <w:rFonts w:ascii="Times New Roman" w:hAnsi="Times New Roman" w:cs="Times New Roman"/>
                <w:szCs w:val="24"/>
              </w:rPr>
              <w:t>1 1766</w:t>
            </w:r>
          </w:p>
        </w:tc>
      </w:tr>
    </w:tbl>
    <w:p w:rsidR="009D7D84" w:rsidRPr="00B86A5A" w:rsidRDefault="009D7D84" w:rsidP="00ED2EE0">
      <w:pPr>
        <w:spacing w:before="240" w:after="0" w:line="360" w:lineRule="auto"/>
        <w:rPr>
          <w:rFonts w:ascii="Times New Roman" w:eastAsia="Times New Roman" w:hAnsi="Times New Roman" w:cs="Times New Roman"/>
          <w:b/>
          <w:color w:val="000000"/>
          <w:sz w:val="24"/>
          <w:szCs w:val="24"/>
          <w:lang w:eastAsia="es-ES"/>
        </w:rPr>
      </w:pPr>
      <w:r w:rsidRPr="00B86A5A">
        <w:rPr>
          <w:rFonts w:ascii="Times New Roman" w:eastAsia="Times New Roman" w:hAnsi="Times New Roman" w:cs="Times New Roman"/>
          <w:b/>
          <w:color w:val="000000"/>
          <w:sz w:val="24"/>
          <w:szCs w:val="24"/>
          <w:lang w:eastAsia="es-ES"/>
        </w:rPr>
        <w:t>Anexo 3</w:t>
      </w:r>
      <w:r w:rsidR="00ED2EE0" w:rsidRPr="00B86A5A">
        <w:rPr>
          <w:rFonts w:ascii="Times New Roman" w:eastAsia="Times New Roman" w:hAnsi="Times New Roman" w:cs="Times New Roman"/>
          <w:b/>
          <w:color w:val="000000"/>
          <w:sz w:val="24"/>
          <w:szCs w:val="24"/>
          <w:lang w:eastAsia="es-ES"/>
        </w:rPr>
        <w:t xml:space="preserve">                   </w:t>
      </w:r>
      <w:r w:rsidRPr="00B86A5A">
        <w:rPr>
          <w:rFonts w:ascii="Times New Roman" w:eastAsia="Times New Roman" w:hAnsi="Times New Roman" w:cs="Times New Roman"/>
          <w:b/>
          <w:color w:val="000000"/>
          <w:sz w:val="24"/>
          <w:szCs w:val="24"/>
          <w:lang w:eastAsia="es-ES"/>
        </w:rPr>
        <w:t xml:space="preserve">Tabla 3. </w:t>
      </w:r>
      <w:r w:rsidRPr="00B86A5A">
        <w:rPr>
          <w:rFonts w:ascii="Times New Roman" w:eastAsia="Times New Roman" w:hAnsi="Times New Roman" w:cs="Times New Roman"/>
          <w:sz w:val="24"/>
          <w:szCs w:val="24"/>
          <w:lang w:eastAsia="es-ES"/>
        </w:rPr>
        <w:t>Resultados de ensayo de estabilidad</w:t>
      </w:r>
    </w:p>
    <w:tbl>
      <w:tblPr>
        <w:tblStyle w:val="Tablaconcuadrcula3"/>
        <w:tblW w:w="6131" w:type="dxa"/>
        <w:jc w:val="center"/>
        <w:tblLook w:val="04A0" w:firstRow="1" w:lastRow="0" w:firstColumn="1" w:lastColumn="0" w:noHBand="0" w:noVBand="1"/>
      </w:tblPr>
      <w:tblGrid>
        <w:gridCol w:w="1047"/>
        <w:gridCol w:w="1930"/>
        <w:gridCol w:w="1170"/>
        <w:gridCol w:w="1984"/>
      </w:tblGrid>
      <w:tr w:rsidR="009D7D84" w:rsidRPr="00B86A5A" w:rsidTr="003C054E">
        <w:trPr>
          <w:trHeight w:val="716"/>
          <w:jc w:val="center"/>
        </w:trPr>
        <w:tc>
          <w:tcPr>
            <w:tcW w:w="0" w:type="auto"/>
            <w:shd w:val="clear" w:color="auto" w:fill="auto"/>
            <w:vAlign w:val="center"/>
          </w:tcPr>
          <w:p w:rsidR="009D7D84" w:rsidRPr="00E010C6" w:rsidRDefault="009D7D84" w:rsidP="003C054E">
            <w:pPr>
              <w:spacing w:line="360" w:lineRule="auto"/>
              <w:jc w:val="center"/>
              <w:rPr>
                <w:rFonts w:ascii="Times New Roman" w:hAnsi="Times New Roman" w:cs="Times New Roman"/>
                <w:b/>
                <w:szCs w:val="24"/>
              </w:rPr>
            </w:pPr>
            <w:r w:rsidRPr="00E010C6">
              <w:rPr>
                <w:rFonts w:ascii="Times New Roman" w:hAnsi="Times New Roman" w:cs="Times New Roman"/>
                <w:b/>
                <w:szCs w:val="24"/>
              </w:rPr>
              <w:t>Probetas</w:t>
            </w:r>
          </w:p>
        </w:tc>
        <w:tc>
          <w:tcPr>
            <w:tcW w:w="0" w:type="auto"/>
            <w:shd w:val="clear" w:color="auto" w:fill="auto"/>
            <w:vAlign w:val="center"/>
          </w:tcPr>
          <w:p w:rsidR="009D7D84" w:rsidRPr="00E010C6" w:rsidRDefault="009D7D84" w:rsidP="003C054E">
            <w:pPr>
              <w:spacing w:line="360" w:lineRule="auto"/>
              <w:jc w:val="center"/>
              <w:rPr>
                <w:rFonts w:ascii="Times New Roman" w:hAnsi="Times New Roman" w:cs="Times New Roman"/>
                <w:b/>
                <w:szCs w:val="24"/>
                <w:lang w:val="es-ES"/>
              </w:rPr>
            </w:pPr>
            <w:r w:rsidRPr="00E010C6">
              <w:rPr>
                <w:rFonts w:ascii="Times New Roman" w:hAnsi="Times New Roman" w:cs="Times New Roman"/>
                <w:b/>
                <w:szCs w:val="24"/>
                <w:lang w:val="es-ES"/>
              </w:rPr>
              <w:t>Factor de corrección</w:t>
            </w:r>
          </w:p>
        </w:tc>
        <w:tc>
          <w:tcPr>
            <w:tcW w:w="0" w:type="auto"/>
            <w:shd w:val="clear" w:color="auto" w:fill="auto"/>
            <w:vAlign w:val="center"/>
          </w:tcPr>
          <w:p w:rsidR="009D7D84" w:rsidRPr="00E010C6" w:rsidRDefault="009D7D84" w:rsidP="003C054E">
            <w:pPr>
              <w:spacing w:line="360" w:lineRule="auto"/>
              <w:jc w:val="center"/>
              <w:rPr>
                <w:rFonts w:ascii="Times New Roman" w:hAnsi="Times New Roman" w:cs="Times New Roman"/>
                <w:b/>
                <w:szCs w:val="24"/>
                <w:lang w:val="es-ES"/>
              </w:rPr>
            </w:pPr>
            <w:r w:rsidRPr="00E010C6">
              <w:rPr>
                <w:rFonts w:ascii="Times New Roman" w:hAnsi="Times New Roman" w:cs="Times New Roman"/>
                <w:b/>
                <w:szCs w:val="24"/>
                <w:lang w:val="es-ES"/>
              </w:rPr>
              <w:t>Carga (kN)</w:t>
            </w:r>
          </w:p>
        </w:tc>
        <w:tc>
          <w:tcPr>
            <w:tcW w:w="0" w:type="auto"/>
            <w:shd w:val="clear" w:color="auto" w:fill="auto"/>
            <w:vAlign w:val="center"/>
          </w:tcPr>
          <w:p w:rsidR="009D7D84" w:rsidRPr="00E010C6" w:rsidRDefault="009D7D84" w:rsidP="003C054E">
            <w:pPr>
              <w:spacing w:line="360" w:lineRule="auto"/>
              <w:jc w:val="center"/>
              <w:rPr>
                <w:rFonts w:ascii="Times New Roman" w:hAnsi="Times New Roman" w:cs="Times New Roman"/>
                <w:b/>
                <w:szCs w:val="24"/>
              </w:rPr>
            </w:pPr>
            <w:r w:rsidRPr="00E010C6">
              <w:rPr>
                <w:rFonts w:ascii="Times New Roman" w:hAnsi="Times New Roman" w:cs="Times New Roman"/>
                <w:b/>
                <w:szCs w:val="24"/>
              </w:rPr>
              <w:t>Estabilidad Marshall</w:t>
            </w:r>
          </w:p>
          <w:p w:rsidR="009D7D84" w:rsidRPr="00E010C6" w:rsidRDefault="009D7D84" w:rsidP="003C054E">
            <w:pPr>
              <w:spacing w:line="360" w:lineRule="auto"/>
              <w:jc w:val="center"/>
              <w:rPr>
                <w:rFonts w:ascii="Times New Roman" w:hAnsi="Times New Roman" w:cs="Times New Roman"/>
                <w:b/>
                <w:szCs w:val="24"/>
                <w:lang w:val="es-ES"/>
              </w:rPr>
            </w:pPr>
            <w:r w:rsidRPr="00E010C6">
              <w:rPr>
                <w:rFonts w:ascii="Times New Roman" w:hAnsi="Times New Roman" w:cs="Times New Roman"/>
                <w:b/>
                <w:szCs w:val="24"/>
              </w:rPr>
              <w:t>(kN)</w:t>
            </w:r>
          </w:p>
        </w:tc>
      </w:tr>
      <w:tr w:rsidR="009D7D84" w:rsidRPr="00B86A5A" w:rsidTr="003C054E">
        <w:trPr>
          <w:trHeight w:val="352"/>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1</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lang w:val="es-ES"/>
              </w:rPr>
            </w:pPr>
            <w:r w:rsidRPr="00B86A5A">
              <w:rPr>
                <w:rFonts w:ascii="Times New Roman" w:hAnsi="Times New Roman" w:cs="Times New Roman"/>
                <w:szCs w:val="24"/>
                <w:lang w:val="es-ES"/>
              </w:rPr>
              <w:t>1,4</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lang w:val="es-ES"/>
              </w:rPr>
              <w:t>57</w:t>
            </w:r>
          </w:p>
        </w:tc>
        <w:tc>
          <w:tcPr>
            <w:tcW w:w="0" w:type="auto"/>
            <w:vAlign w:val="center"/>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11,20</w:t>
            </w:r>
          </w:p>
        </w:tc>
      </w:tr>
      <w:tr w:rsidR="009D7D84" w:rsidRPr="00B86A5A" w:rsidTr="003C054E">
        <w:trPr>
          <w:trHeight w:val="352"/>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2</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1,0</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57</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9.82</w:t>
            </w:r>
          </w:p>
        </w:tc>
      </w:tr>
      <w:tr w:rsidR="009D7D84" w:rsidRPr="00B86A5A" w:rsidTr="003C054E">
        <w:trPr>
          <w:trHeight w:val="352"/>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3</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1,19</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49</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10,05</w:t>
            </w:r>
          </w:p>
        </w:tc>
      </w:tr>
      <w:tr w:rsidR="009D7D84" w:rsidRPr="00B86A5A" w:rsidTr="003C054E">
        <w:trPr>
          <w:trHeight w:val="363"/>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4</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72</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12,41</w:t>
            </w:r>
          </w:p>
        </w:tc>
      </w:tr>
      <w:tr w:rsidR="009D7D84" w:rsidRPr="00B86A5A" w:rsidTr="003C054E">
        <w:trPr>
          <w:trHeight w:val="352"/>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6</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1,39</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50</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11,98</w:t>
            </w:r>
          </w:p>
        </w:tc>
      </w:tr>
      <w:tr w:rsidR="009D7D84" w:rsidRPr="00402044" w:rsidTr="003C054E">
        <w:trPr>
          <w:trHeight w:val="352"/>
          <w:jc w:val="center"/>
        </w:trPr>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S</w:t>
            </w:r>
            <w:r w:rsidRPr="00B86A5A">
              <w:rPr>
                <w:rFonts w:ascii="Times New Roman" w:hAnsi="Times New Roman" w:cs="Times New Roman"/>
                <w:szCs w:val="24"/>
                <w:vertAlign w:val="subscript"/>
              </w:rPr>
              <w:t>7</w:t>
            </w:r>
          </w:p>
        </w:tc>
        <w:tc>
          <w:tcPr>
            <w:tcW w:w="0" w:type="auto"/>
            <w:shd w:val="clear" w:color="auto" w:fill="FFFFFF"/>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1,25</w:t>
            </w:r>
          </w:p>
        </w:tc>
        <w:tc>
          <w:tcPr>
            <w:tcW w:w="0" w:type="auto"/>
            <w:vAlign w:val="center"/>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44</w:t>
            </w:r>
          </w:p>
        </w:tc>
        <w:tc>
          <w:tcPr>
            <w:tcW w:w="0" w:type="auto"/>
          </w:tcPr>
          <w:p w:rsidR="009D7D84" w:rsidRPr="00B86A5A" w:rsidRDefault="009D7D84" w:rsidP="003C054E">
            <w:pPr>
              <w:spacing w:line="360" w:lineRule="auto"/>
              <w:jc w:val="center"/>
              <w:rPr>
                <w:rFonts w:ascii="Times New Roman" w:hAnsi="Times New Roman" w:cs="Times New Roman"/>
                <w:szCs w:val="24"/>
              </w:rPr>
            </w:pPr>
            <w:r w:rsidRPr="00B86A5A">
              <w:rPr>
                <w:rFonts w:ascii="Times New Roman" w:hAnsi="Times New Roman" w:cs="Times New Roman"/>
                <w:szCs w:val="24"/>
              </w:rPr>
              <w:t>9,48</w:t>
            </w:r>
          </w:p>
        </w:tc>
      </w:tr>
    </w:tbl>
    <w:p w:rsidR="009D7D84" w:rsidRPr="00402044" w:rsidRDefault="009D7D84" w:rsidP="00B86A5A">
      <w:pPr>
        <w:rPr>
          <w:rFonts w:ascii="Times New Roman" w:hAnsi="Times New Roman" w:cs="Times New Roman"/>
          <w:sz w:val="24"/>
          <w:szCs w:val="24"/>
        </w:rPr>
      </w:pPr>
    </w:p>
    <w:sectPr w:rsidR="009D7D84" w:rsidRPr="0040204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B3" w:rsidRDefault="00D548B3" w:rsidP="00C677FB">
      <w:pPr>
        <w:spacing w:after="0" w:line="240" w:lineRule="auto"/>
      </w:pPr>
      <w:r>
        <w:separator/>
      </w:r>
    </w:p>
  </w:endnote>
  <w:endnote w:type="continuationSeparator" w:id="0">
    <w:p w:rsidR="00D548B3" w:rsidRDefault="00D548B3" w:rsidP="00C6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B3" w:rsidRDefault="00D548B3" w:rsidP="00C677FB">
      <w:pPr>
        <w:spacing w:after="0" w:line="240" w:lineRule="auto"/>
      </w:pPr>
      <w:r>
        <w:separator/>
      </w:r>
    </w:p>
  </w:footnote>
  <w:footnote w:type="continuationSeparator" w:id="0">
    <w:p w:rsidR="00D548B3" w:rsidRDefault="00D548B3" w:rsidP="00C6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FB" w:rsidRDefault="00C677FB">
    <w:pPr>
      <w:pStyle w:val="Encabezado"/>
      <w:jc w:val="right"/>
    </w:pPr>
  </w:p>
  <w:p w:rsidR="00C677FB" w:rsidRDefault="00C677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9D741702"/>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000009"/>
    <w:multiLevelType w:val="multilevel"/>
    <w:tmpl w:val="B132467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B"/>
    <w:multiLevelType w:val="hybridMultilevel"/>
    <w:tmpl w:val="3670DE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10"/>
    <w:multiLevelType w:val="multilevel"/>
    <w:tmpl w:val="854C4C6C"/>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0000011"/>
    <w:multiLevelType w:val="hybridMultilevel"/>
    <w:tmpl w:val="8F24D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0000012"/>
    <w:multiLevelType w:val="multilevel"/>
    <w:tmpl w:val="0A9E90D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6F1012"/>
    <w:multiLevelType w:val="hybridMultilevel"/>
    <w:tmpl w:val="3F3081E8"/>
    <w:lvl w:ilvl="0" w:tplc="09E6286C">
      <w:start w:val="1"/>
      <w:numFmt w:val="lowerLetter"/>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7" w15:restartNumberingAfterBreak="0">
    <w:nsid w:val="102808AD"/>
    <w:multiLevelType w:val="hybridMultilevel"/>
    <w:tmpl w:val="69904040"/>
    <w:lvl w:ilvl="0" w:tplc="19622F6A">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21444CE"/>
    <w:multiLevelType w:val="multilevel"/>
    <w:tmpl w:val="ABDA555C"/>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990539"/>
    <w:multiLevelType w:val="hybridMultilevel"/>
    <w:tmpl w:val="8B40AC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FD1325F"/>
    <w:multiLevelType w:val="multilevel"/>
    <w:tmpl w:val="514E8FE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35349A"/>
    <w:multiLevelType w:val="hybridMultilevel"/>
    <w:tmpl w:val="557497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88E2AEA"/>
    <w:multiLevelType w:val="multilevel"/>
    <w:tmpl w:val="156080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7646F4"/>
    <w:multiLevelType w:val="multilevel"/>
    <w:tmpl w:val="AA0875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400653"/>
    <w:multiLevelType w:val="hybridMultilevel"/>
    <w:tmpl w:val="164A94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E657033"/>
    <w:multiLevelType w:val="hybridMultilevel"/>
    <w:tmpl w:val="4AECBF6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5"/>
  </w:num>
  <w:num w:numId="2">
    <w:abstractNumId w:val="1"/>
  </w:num>
  <w:num w:numId="3">
    <w:abstractNumId w:val="6"/>
  </w:num>
  <w:num w:numId="4">
    <w:abstractNumId w:val="0"/>
  </w:num>
  <w:num w:numId="5">
    <w:abstractNumId w:val="3"/>
  </w:num>
  <w:num w:numId="6">
    <w:abstractNumId w:val="10"/>
  </w:num>
  <w:num w:numId="7">
    <w:abstractNumId w:val="4"/>
  </w:num>
  <w:num w:numId="8">
    <w:abstractNumId w:val="2"/>
  </w:num>
  <w:num w:numId="9">
    <w:abstractNumId w:val="8"/>
  </w:num>
  <w:num w:numId="10">
    <w:abstractNumId w:val="7"/>
  </w:num>
  <w:num w:numId="11">
    <w:abstractNumId w:val="11"/>
  </w:num>
  <w:num w:numId="12">
    <w:abstractNumId w:val="15"/>
  </w:num>
  <w:num w:numId="13">
    <w:abstractNumId w:val="9"/>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FB"/>
    <w:rsid w:val="00007900"/>
    <w:rsid w:val="00010FBD"/>
    <w:rsid w:val="0002421F"/>
    <w:rsid w:val="00057887"/>
    <w:rsid w:val="00074E64"/>
    <w:rsid w:val="000D08CB"/>
    <w:rsid w:val="00101F6E"/>
    <w:rsid w:val="0013182F"/>
    <w:rsid w:val="001567B7"/>
    <w:rsid w:val="00183EAD"/>
    <w:rsid w:val="001D0C53"/>
    <w:rsid w:val="002151E0"/>
    <w:rsid w:val="002362E5"/>
    <w:rsid w:val="002666B4"/>
    <w:rsid w:val="002C1549"/>
    <w:rsid w:val="002D5F29"/>
    <w:rsid w:val="002F2BF5"/>
    <w:rsid w:val="002F70AA"/>
    <w:rsid w:val="003011E8"/>
    <w:rsid w:val="00347527"/>
    <w:rsid w:val="003725AD"/>
    <w:rsid w:val="00381542"/>
    <w:rsid w:val="0039506A"/>
    <w:rsid w:val="003B6516"/>
    <w:rsid w:val="003B7423"/>
    <w:rsid w:val="003F6B42"/>
    <w:rsid w:val="00402044"/>
    <w:rsid w:val="0041399E"/>
    <w:rsid w:val="00460DCD"/>
    <w:rsid w:val="00495067"/>
    <w:rsid w:val="00495997"/>
    <w:rsid w:val="004B1C9F"/>
    <w:rsid w:val="004B49CD"/>
    <w:rsid w:val="004C14FD"/>
    <w:rsid w:val="004F4395"/>
    <w:rsid w:val="004F576C"/>
    <w:rsid w:val="004F72C2"/>
    <w:rsid w:val="00507EFA"/>
    <w:rsid w:val="00557285"/>
    <w:rsid w:val="005728DC"/>
    <w:rsid w:val="005D11D9"/>
    <w:rsid w:val="005E799B"/>
    <w:rsid w:val="00651677"/>
    <w:rsid w:val="006713F4"/>
    <w:rsid w:val="006A3312"/>
    <w:rsid w:val="006B3E7D"/>
    <w:rsid w:val="006C1F63"/>
    <w:rsid w:val="006C2FF2"/>
    <w:rsid w:val="006E0068"/>
    <w:rsid w:val="006F54AF"/>
    <w:rsid w:val="006F6DBD"/>
    <w:rsid w:val="00700ABF"/>
    <w:rsid w:val="00724C6A"/>
    <w:rsid w:val="00747E6A"/>
    <w:rsid w:val="007504D6"/>
    <w:rsid w:val="007660CC"/>
    <w:rsid w:val="00767BD2"/>
    <w:rsid w:val="007A3B51"/>
    <w:rsid w:val="00805D3A"/>
    <w:rsid w:val="00826323"/>
    <w:rsid w:val="00830816"/>
    <w:rsid w:val="00845AF2"/>
    <w:rsid w:val="008757BF"/>
    <w:rsid w:val="008B725D"/>
    <w:rsid w:val="008D2C41"/>
    <w:rsid w:val="009102B3"/>
    <w:rsid w:val="00952797"/>
    <w:rsid w:val="00955CFD"/>
    <w:rsid w:val="009871C6"/>
    <w:rsid w:val="009B0E9C"/>
    <w:rsid w:val="009B6435"/>
    <w:rsid w:val="009D7D84"/>
    <w:rsid w:val="00A269F7"/>
    <w:rsid w:val="00A66993"/>
    <w:rsid w:val="00A86ED1"/>
    <w:rsid w:val="00AA2FEF"/>
    <w:rsid w:val="00AD5B57"/>
    <w:rsid w:val="00B52B86"/>
    <w:rsid w:val="00B86A5A"/>
    <w:rsid w:val="00B93351"/>
    <w:rsid w:val="00B94117"/>
    <w:rsid w:val="00C246A8"/>
    <w:rsid w:val="00C42C5D"/>
    <w:rsid w:val="00C677FB"/>
    <w:rsid w:val="00C774E3"/>
    <w:rsid w:val="00CE1703"/>
    <w:rsid w:val="00D539C8"/>
    <w:rsid w:val="00D548B3"/>
    <w:rsid w:val="00D6123A"/>
    <w:rsid w:val="00D66279"/>
    <w:rsid w:val="00DD539A"/>
    <w:rsid w:val="00DF6AFF"/>
    <w:rsid w:val="00E010C6"/>
    <w:rsid w:val="00E026D1"/>
    <w:rsid w:val="00E311EE"/>
    <w:rsid w:val="00E93B11"/>
    <w:rsid w:val="00E94268"/>
    <w:rsid w:val="00ED2EE0"/>
    <w:rsid w:val="00F11003"/>
    <w:rsid w:val="00F14CAA"/>
    <w:rsid w:val="00F22DA5"/>
    <w:rsid w:val="00F43CAD"/>
    <w:rsid w:val="00F71C63"/>
    <w:rsid w:val="00F80012"/>
    <w:rsid w:val="00F96DD4"/>
    <w:rsid w:val="00FA0D9C"/>
    <w:rsid w:val="00FE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F5D6"/>
  <w15:chartTrackingRefBased/>
  <w15:docId w15:val="{229B2BE7-70AE-4B05-9A41-1D719B3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7FB"/>
    <w:rPr>
      <w:rFonts w:ascii="Calibri" w:eastAsia="Calibri" w:hAnsi="Calibri" w:cs="SimSun"/>
    </w:rPr>
  </w:style>
  <w:style w:type="paragraph" w:styleId="Ttulo1">
    <w:name w:val="heading 1"/>
    <w:basedOn w:val="Normal"/>
    <w:next w:val="Normal"/>
    <w:link w:val="Ttulo1Car"/>
    <w:uiPriority w:val="9"/>
    <w:qFormat/>
    <w:rsid w:val="00D539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C677FB"/>
    <w:pPr>
      <w:keepNext/>
      <w:keepLines/>
      <w:spacing w:before="40" w:after="0"/>
      <w:outlineLvl w:val="1"/>
    </w:pPr>
    <w:rPr>
      <w:rFonts w:ascii="Calibri Light" w:eastAsia="SimSun" w:hAnsi="Calibri Light"/>
      <w:color w:val="2E74B5"/>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77FB"/>
    <w:rPr>
      <w:rFonts w:ascii="Calibri Light" w:eastAsia="SimSun" w:hAnsi="Calibri Light" w:cs="SimSun"/>
      <w:color w:val="2E74B5"/>
      <w:sz w:val="26"/>
      <w:szCs w:val="26"/>
    </w:rPr>
  </w:style>
  <w:style w:type="paragraph" w:styleId="Prrafodelista">
    <w:name w:val="List Paragraph"/>
    <w:basedOn w:val="Normal"/>
    <w:qFormat/>
    <w:rsid w:val="00C677FB"/>
    <w:pPr>
      <w:ind w:left="720"/>
      <w:contextualSpacing/>
    </w:pPr>
  </w:style>
  <w:style w:type="table" w:styleId="Tablaconcuadrcula">
    <w:name w:val="Table Grid"/>
    <w:basedOn w:val="Tablanormal"/>
    <w:uiPriority w:val="39"/>
    <w:rsid w:val="00C677FB"/>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677FB"/>
    <w:pPr>
      <w:spacing w:after="0" w:line="240" w:lineRule="auto"/>
    </w:pPr>
    <w:rPr>
      <w:rFonts w:ascii="Calibri" w:eastAsia="SimSun" w:hAnsi="Calibri" w:cs="SimSun"/>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C677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77FB"/>
    <w:rPr>
      <w:rFonts w:ascii="Calibri" w:eastAsia="Calibri" w:hAnsi="Calibri" w:cs="SimSun"/>
    </w:rPr>
  </w:style>
  <w:style w:type="paragraph" w:styleId="Piedepgina">
    <w:name w:val="footer"/>
    <w:basedOn w:val="Normal"/>
    <w:link w:val="PiedepginaCar"/>
    <w:uiPriority w:val="99"/>
    <w:unhideWhenUsed/>
    <w:rsid w:val="00C677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7FB"/>
    <w:rPr>
      <w:rFonts w:ascii="Calibri" w:eastAsia="Calibri" w:hAnsi="Calibri" w:cs="SimSun"/>
    </w:rPr>
  </w:style>
  <w:style w:type="table" w:customStyle="1" w:styleId="Tablaconcuadrcula3">
    <w:name w:val="Tabla con cuadrícula3"/>
    <w:basedOn w:val="Tablanormal"/>
    <w:next w:val="Tablaconcuadrcula"/>
    <w:uiPriority w:val="39"/>
    <w:rsid w:val="0055728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539C8"/>
    <w:rPr>
      <w:rFonts w:asciiTheme="majorHAnsi" w:eastAsiaTheme="majorEastAsia" w:hAnsiTheme="majorHAnsi" w:cstheme="majorBidi"/>
      <w:color w:val="2E74B5" w:themeColor="accent1" w:themeShade="BF"/>
      <w:sz w:val="32"/>
      <w:szCs w:val="32"/>
    </w:rPr>
  </w:style>
  <w:style w:type="paragraph" w:customStyle="1" w:styleId="EndNoteBibliography">
    <w:name w:val="EndNote Bibliography"/>
    <w:basedOn w:val="Normal"/>
    <w:link w:val="EndNoteBibliographyCar"/>
    <w:rsid w:val="00D539C8"/>
    <w:pPr>
      <w:spacing w:line="240" w:lineRule="auto"/>
    </w:pPr>
    <w:rPr>
      <w:rFonts w:eastAsiaTheme="minorHAnsi" w:cs="Calibri"/>
      <w:noProof/>
      <w:lang w:val="en-US"/>
    </w:rPr>
  </w:style>
  <w:style w:type="character" w:customStyle="1" w:styleId="EndNoteBibliographyCar">
    <w:name w:val="EndNote Bibliography Car"/>
    <w:basedOn w:val="Fuentedeprrafopredeter"/>
    <w:link w:val="EndNoteBibliography"/>
    <w:rsid w:val="00D539C8"/>
    <w:rPr>
      <w:rFonts w:ascii="Calibri" w:hAnsi="Calibri" w:cs="Calibri"/>
      <w:noProof/>
      <w:lang w:val="en-US"/>
    </w:rPr>
  </w:style>
  <w:style w:type="character" w:styleId="Hipervnculo">
    <w:name w:val="Hyperlink"/>
    <w:basedOn w:val="Fuentedeprrafopredeter"/>
    <w:unhideWhenUsed/>
    <w:rsid w:val="001D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04199475065617"/>
          <c:y val="0.16203703703703703"/>
          <c:w val="0.74779024496937885"/>
          <c:h val="0.64129629629629625"/>
        </c:manualLayout>
      </c:layout>
      <c:scatterChart>
        <c:scatterStyle val="lineMarker"/>
        <c:varyColors val="0"/>
        <c:ser>
          <c:idx val="0"/>
          <c:order val="0"/>
          <c:tx>
            <c:v>Curva de compactación</c:v>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0-BA51-464A-BEE3-5C033EB603D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Hoja2!$A$1:$A$5</c:f>
              <c:numCache>
                <c:formatCode>General</c:formatCode>
                <c:ptCount val="5"/>
                <c:pt idx="0">
                  <c:v>4.4000000000000004</c:v>
                </c:pt>
                <c:pt idx="1">
                  <c:v>6.1</c:v>
                </c:pt>
                <c:pt idx="2">
                  <c:v>9.3000000000000007</c:v>
                </c:pt>
                <c:pt idx="3">
                  <c:v>12</c:v>
                </c:pt>
                <c:pt idx="4">
                  <c:v>15.9</c:v>
                </c:pt>
              </c:numCache>
            </c:numRef>
          </c:xVal>
          <c:yVal>
            <c:numRef>
              <c:f>Hoja2!$B$1:$B$5</c:f>
              <c:numCache>
                <c:formatCode>General</c:formatCode>
                <c:ptCount val="5"/>
                <c:pt idx="0">
                  <c:v>18.43</c:v>
                </c:pt>
                <c:pt idx="1">
                  <c:v>18.5</c:v>
                </c:pt>
                <c:pt idx="2">
                  <c:v>18.53</c:v>
                </c:pt>
                <c:pt idx="3">
                  <c:v>17.77</c:v>
                </c:pt>
                <c:pt idx="4">
                  <c:v>17.11</c:v>
                </c:pt>
              </c:numCache>
            </c:numRef>
          </c:yVal>
          <c:smooth val="0"/>
          <c:extLst>
            <c:ext xmlns:c16="http://schemas.microsoft.com/office/drawing/2014/chart" uri="{C3380CC4-5D6E-409C-BE32-E72D297353CC}">
              <c16:uniqueId val="{00000001-BA51-464A-BEE3-5C033EB603DF}"/>
            </c:ext>
          </c:extLst>
        </c:ser>
        <c:ser>
          <c:idx val="1"/>
          <c:order val="1"/>
          <c:tx>
            <c:v>recta de saturación</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numRef>
              <c:f>Hoja2!$C$1:$C$5</c:f>
              <c:numCache>
                <c:formatCode>General</c:formatCode>
                <c:ptCount val="5"/>
                <c:pt idx="0">
                  <c:v>14.203981412474583</c:v>
                </c:pt>
                <c:pt idx="1">
                  <c:v>14.003007676937631</c:v>
                </c:pt>
                <c:pt idx="2">
                  <c:v>13.917340898448401</c:v>
                </c:pt>
                <c:pt idx="3">
                  <c:v>16.176719824650913</c:v>
                </c:pt>
                <c:pt idx="4">
                  <c:v>18.301650796971757</c:v>
                </c:pt>
              </c:numCache>
            </c:numRef>
          </c:xVal>
          <c:yVal>
            <c:numRef>
              <c:f>Hoja2!$B$1:$B$5</c:f>
              <c:numCache>
                <c:formatCode>General</c:formatCode>
                <c:ptCount val="5"/>
                <c:pt idx="0">
                  <c:v>18.43</c:v>
                </c:pt>
                <c:pt idx="1">
                  <c:v>18.5</c:v>
                </c:pt>
                <c:pt idx="2">
                  <c:v>18.53</c:v>
                </c:pt>
                <c:pt idx="3">
                  <c:v>17.77</c:v>
                </c:pt>
                <c:pt idx="4">
                  <c:v>17.11</c:v>
                </c:pt>
              </c:numCache>
            </c:numRef>
          </c:yVal>
          <c:smooth val="0"/>
          <c:extLst>
            <c:ext xmlns:c16="http://schemas.microsoft.com/office/drawing/2014/chart" uri="{C3380CC4-5D6E-409C-BE32-E72D297353CC}">
              <c16:uniqueId val="{00000002-BA51-464A-BEE3-5C033EB603DF}"/>
            </c:ext>
          </c:extLst>
        </c:ser>
        <c:dLbls>
          <c:dLblPos val="t"/>
          <c:showLegendKey val="0"/>
          <c:showVal val="1"/>
          <c:showCatName val="0"/>
          <c:showSerName val="0"/>
          <c:showPercent val="0"/>
          <c:showBubbleSize val="0"/>
        </c:dLbls>
        <c:axId val="1237888496"/>
        <c:axId val="1237882672"/>
      </c:scatterChart>
      <c:valAx>
        <c:axId val="1237888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b="1">
                    <a:solidFill>
                      <a:sysClr val="windowText" lastClr="000000"/>
                    </a:solidFill>
                  </a:rPr>
                  <a:t>Humedad (%)</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237882672"/>
        <c:crosses val="autoZero"/>
        <c:crossBetween val="midCat"/>
      </c:valAx>
      <c:valAx>
        <c:axId val="123788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b="1">
                    <a:solidFill>
                      <a:sysClr val="windowText" lastClr="000000"/>
                    </a:solidFill>
                  </a:rPr>
                  <a:t>Peso especifico seco (kN/m</a:t>
                </a:r>
                <a:r>
                  <a:rPr lang="es-ES" b="1" baseline="30000">
                    <a:solidFill>
                      <a:sysClr val="windowText" lastClr="000000"/>
                    </a:solidFill>
                  </a:rPr>
                  <a:t>3</a:t>
                </a:r>
                <a:r>
                  <a:rPr lang="es-ES" b="1">
                    <a:solidFill>
                      <a:sysClr val="windowText" lastClr="000000"/>
                    </a:solidFill>
                  </a:rPr>
                  <a:t>) </a:t>
                </a:r>
              </a:p>
            </c:rich>
          </c:tx>
          <c:layout>
            <c:manualLayout>
              <c:xMode val="edge"/>
              <c:yMode val="edge"/>
              <c:x val="2.2222222222222223E-2"/>
              <c:y val="5.9640930300379119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237888496"/>
        <c:crosses val="autoZero"/>
        <c:crossBetween val="midCat"/>
      </c:valAx>
      <c:spPr>
        <a:noFill/>
        <a:ln>
          <a:noFill/>
        </a:ln>
        <a:effectLst/>
      </c:spPr>
    </c:plotArea>
    <c:legend>
      <c:legendPos val="r"/>
      <c:layout>
        <c:manualLayout>
          <c:xMode val="edge"/>
          <c:yMode val="edge"/>
          <c:x val="0.12629046369203847"/>
          <c:y val="3.2874744823563729E-2"/>
          <c:w val="0.66537620297462818"/>
          <c:h val="0.105546806649168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AE63-6357-4BA0-82D3-AAB4BD08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5624</Words>
  <Characters>30938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Silva Gutsen</dc:creator>
  <cp:keywords/>
  <dc:description/>
  <cp:lastModifiedBy>Alejandro Silva Gutsen</cp:lastModifiedBy>
  <cp:revision>2</cp:revision>
  <dcterms:created xsi:type="dcterms:W3CDTF">2023-11-15T16:04:00Z</dcterms:created>
  <dcterms:modified xsi:type="dcterms:W3CDTF">2023-11-15T16:04:00Z</dcterms:modified>
</cp:coreProperties>
</file>